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E5331" w14:textId="77777777" w:rsidR="004D0478" w:rsidRPr="00367E63" w:rsidRDefault="000B3EAD" w:rsidP="0060668E">
      <w:pPr>
        <w:spacing w:line="280" w:lineRule="exact"/>
        <w:jc w:val="center"/>
        <w:rPr>
          <w:rFonts w:ascii="Arial Narrow" w:hAnsi="Arial Narrow"/>
          <w:b/>
          <w:sz w:val="26"/>
        </w:rPr>
      </w:pPr>
      <w:r w:rsidRPr="00367E63">
        <w:rPr>
          <w:noProof/>
          <w:lang w:val="fr-FR"/>
        </w:rPr>
        <w:drawing>
          <wp:anchor distT="0" distB="0" distL="114300" distR="114300" simplePos="0" relativeHeight="251657216" behindDoc="1" locked="0" layoutInCell="1" allowOverlap="1" wp14:anchorId="556A3205" wp14:editId="660DD436">
            <wp:simplePos x="0" y="0"/>
            <wp:positionH relativeFrom="column">
              <wp:posOffset>1919605</wp:posOffset>
            </wp:positionH>
            <wp:positionV relativeFrom="paragraph">
              <wp:posOffset>-178435</wp:posOffset>
            </wp:positionV>
            <wp:extent cx="1943100" cy="752475"/>
            <wp:effectExtent l="19050" t="0" r="0" b="0"/>
            <wp:wrapTight wrapText="bothSides">
              <wp:wrapPolygon edited="0">
                <wp:start x="-212" y="0"/>
                <wp:lineTo x="-212" y="21327"/>
                <wp:lineTo x="21600" y="21327"/>
                <wp:lineTo x="21600" y="0"/>
                <wp:lineTo x="-212" y="0"/>
              </wp:wrapPolygon>
            </wp:wrapTight>
            <wp:docPr id="18"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8" cstate="print"/>
                    <a:srcRect/>
                    <a:stretch>
                      <a:fillRect/>
                    </a:stretch>
                  </pic:blipFill>
                  <pic:spPr bwMode="auto">
                    <a:xfrm>
                      <a:off x="0" y="0"/>
                      <a:ext cx="1943100" cy="752475"/>
                    </a:xfrm>
                    <a:prstGeom prst="rect">
                      <a:avLst/>
                    </a:prstGeom>
                    <a:noFill/>
                    <a:ln w="9525">
                      <a:noFill/>
                      <a:miter lim="800000"/>
                      <a:headEnd/>
                      <a:tailEnd/>
                    </a:ln>
                  </pic:spPr>
                </pic:pic>
              </a:graphicData>
            </a:graphic>
          </wp:anchor>
        </w:drawing>
      </w:r>
    </w:p>
    <w:p w14:paraId="538A533E" w14:textId="77777777" w:rsidR="00C203DD" w:rsidRPr="00367E63" w:rsidRDefault="00C203DD">
      <w:pPr>
        <w:pStyle w:val="En-tte"/>
        <w:tabs>
          <w:tab w:val="clear" w:pos="4536"/>
          <w:tab w:val="clear" w:pos="9072"/>
        </w:tabs>
        <w:rPr>
          <w:b/>
          <w:sz w:val="32"/>
        </w:rPr>
      </w:pPr>
    </w:p>
    <w:p w14:paraId="7CA8668F" w14:textId="77777777" w:rsidR="0009747F" w:rsidRPr="00367E63" w:rsidRDefault="0009747F" w:rsidP="005C03E7">
      <w:pPr>
        <w:pStyle w:val="En-tte"/>
        <w:tabs>
          <w:tab w:val="clear" w:pos="4536"/>
          <w:tab w:val="clear" w:pos="9072"/>
        </w:tabs>
        <w:jc w:val="right"/>
        <w:rPr>
          <w:b/>
          <w:sz w:val="32"/>
        </w:rPr>
      </w:pPr>
    </w:p>
    <w:p w14:paraId="63737183" w14:textId="77777777" w:rsidR="000B3EAD" w:rsidRPr="00367E63" w:rsidRDefault="000B3EAD" w:rsidP="00F409B2">
      <w:pPr>
        <w:pStyle w:val="En-tte"/>
        <w:tabs>
          <w:tab w:val="clear" w:pos="4536"/>
          <w:tab w:val="clear" w:pos="9072"/>
          <w:tab w:val="right" w:pos="9000"/>
        </w:tabs>
        <w:rPr>
          <w:b/>
          <w:bCs/>
          <w:sz w:val="24"/>
          <w:szCs w:val="24"/>
        </w:rPr>
      </w:pPr>
    </w:p>
    <w:p w14:paraId="5ED68847" w14:textId="77777777" w:rsidR="000B3EAD" w:rsidRPr="00367E63" w:rsidRDefault="000B3EAD" w:rsidP="00F409B2">
      <w:pPr>
        <w:pStyle w:val="En-tte"/>
        <w:tabs>
          <w:tab w:val="clear" w:pos="4536"/>
          <w:tab w:val="clear" w:pos="9072"/>
          <w:tab w:val="right" w:pos="9000"/>
        </w:tabs>
        <w:rPr>
          <w:b/>
          <w:bCs/>
          <w:sz w:val="24"/>
          <w:szCs w:val="24"/>
        </w:rPr>
      </w:pPr>
    </w:p>
    <w:p w14:paraId="6736F5E4" w14:textId="377B2233" w:rsidR="004D0478" w:rsidRPr="00367E63" w:rsidRDefault="004D0478" w:rsidP="00F409B2">
      <w:pPr>
        <w:pStyle w:val="En-tte"/>
        <w:tabs>
          <w:tab w:val="clear" w:pos="4536"/>
          <w:tab w:val="clear" w:pos="9072"/>
          <w:tab w:val="right" w:pos="9000"/>
        </w:tabs>
        <w:rPr>
          <w:b/>
          <w:snapToGrid w:val="0"/>
          <w:color w:val="000000"/>
          <w:sz w:val="24"/>
        </w:rPr>
      </w:pPr>
      <w:r w:rsidRPr="00367E63">
        <w:rPr>
          <w:b/>
          <w:bCs/>
          <w:sz w:val="24"/>
          <w:szCs w:val="24"/>
        </w:rPr>
        <w:t>Press Release</w:t>
      </w:r>
      <w:r w:rsidR="000F1556" w:rsidRPr="00367E63">
        <w:rPr>
          <w:b/>
          <w:bCs/>
          <w:sz w:val="24"/>
          <w:szCs w:val="24"/>
        </w:rPr>
        <w:tab/>
      </w:r>
      <w:r w:rsidR="004F7E21" w:rsidRPr="00367E63">
        <w:rPr>
          <w:b/>
          <w:bCs/>
          <w:sz w:val="24"/>
          <w:szCs w:val="24"/>
        </w:rPr>
        <w:t xml:space="preserve">London, </w:t>
      </w:r>
      <w:r w:rsidR="003A3F4B" w:rsidRPr="00367E63">
        <w:rPr>
          <w:b/>
          <w:snapToGrid w:val="0"/>
          <w:color w:val="000000"/>
          <w:sz w:val="24"/>
        </w:rPr>
        <w:t>Nice,</w:t>
      </w:r>
      <w:r w:rsidR="00560A3B" w:rsidRPr="00367E63">
        <w:rPr>
          <w:b/>
          <w:snapToGrid w:val="0"/>
          <w:color w:val="000000"/>
          <w:sz w:val="24"/>
        </w:rPr>
        <w:t xml:space="preserve"> </w:t>
      </w:r>
      <w:r w:rsidR="00B22CF3" w:rsidRPr="00367E63">
        <w:rPr>
          <w:b/>
          <w:snapToGrid w:val="0"/>
          <w:color w:val="000000"/>
          <w:sz w:val="24"/>
        </w:rPr>
        <w:t xml:space="preserve">Paris, </w:t>
      </w:r>
      <w:r w:rsidR="004804C5">
        <w:rPr>
          <w:b/>
          <w:snapToGrid w:val="0"/>
          <w:color w:val="000000"/>
          <w:sz w:val="24"/>
        </w:rPr>
        <w:t>June 2</w:t>
      </w:r>
      <w:r w:rsidR="00CE693E">
        <w:rPr>
          <w:b/>
          <w:snapToGrid w:val="0"/>
          <w:color w:val="000000"/>
          <w:sz w:val="24"/>
        </w:rPr>
        <w:t>6</w:t>
      </w:r>
      <w:r w:rsidR="00D975ED" w:rsidRPr="00367E63">
        <w:rPr>
          <w:b/>
          <w:snapToGrid w:val="0"/>
          <w:color w:val="000000"/>
          <w:sz w:val="24"/>
        </w:rPr>
        <w:t>,</w:t>
      </w:r>
      <w:r w:rsidR="004540A3" w:rsidRPr="00367E63">
        <w:rPr>
          <w:b/>
          <w:snapToGrid w:val="0"/>
          <w:color w:val="000000"/>
          <w:sz w:val="24"/>
        </w:rPr>
        <w:t xml:space="preserve"> 20</w:t>
      </w:r>
      <w:r w:rsidR="00A76864" w:rsidRPr="00367E63">
        <w:rPr>
          <w:b/>
          <w:snapToGrid w:val="0"/>
          <w:color w:val="000000"/>
          <w:sz w:val="24"/>
        </w:rPr>
        <w:t>1</w:t>
      </w:r>
      <w:r w:rsidR="00C97A7F">
        <w:rPr>
          <w:b/>
          <w:snapToGrid w:val="0"/>
          <w:color w:val="000000"/>
          <w:sz w:val="24"/>
        </w:rPr>
        <w:t>9</w:t>
      </w:r>
    </w:p>
    <w:p w14:paraId="42840D76" w14:textId="77777777" w:rsidR="00AE5609" w:rsidRPr="00367E63" w:rsidRDefault="00AE5609" w:rsidP="00AE5609">
      <w:pPr>
        <w:autoSpaceDE w:val="0"/>
        <w:autoSpaceDN w:val="0"/>
        <w:adjustRightInd w:val="0"/>
        <w:spacing w:line="260" w:lineRule="atLeast"/>
        <w:rPr>
          <w:color w:val="000000"/>
          <w:sz w:val="22"/>
          <w:szCs w:val="22"/>
        </w:rPr>
      </w:pPr>
    </w:p>
    <w:p w14:paraId="5F053557" w14:textId="77777777" w:rsidR="00560A3B" w:rsidRPr="00367E63" w:rsidRDefault="00560A3B" w:rsidP="00AE5609">
      <w:pPr>
        <w:autoSpaceDE w:val="0"/>
        <w:autoSpaceDN w:val="0"/>
        <w:adjustRightInd w:val="0"/>
        <w:spacing w:line="260" w:lineRule="atLeast"/>
        <w:rPr>
          <w:color w:val="000000"/>
          <w:sz w:val="22"/>
          <w:szCs w:val="22"/>
        </w:rPr>
      </w:pPr>
    </w:p>
    <w:p w14:paraId="4E208507" w14:textId="552B397F" w:rsidR="00AE5609" w:rsidRPr="00367E63" w:rsidRDefault="0086446C" w:rsidP="0086446C">
      <w:pPr>
        <w:jc w:val="center"/>
        <w:rPr>
          <w:sz w:val="22"/>
          <w:szCs w:val="22"/>
        </w:rPr>
      </w:pPr>
      <w:r>
        <w:rPr>
          <w:b/>
          <w:sz w:val="34"/>
          <w:szCs w:val="34"/>
        </w:rPr>
        <w:t xml:space="preserve">EDHEC-Risk Institute papers </w:t>
      </w:r>
      <w:r w:rsidR="003861EE">
        <w:rPr>
          <w:b/>
          <w:sz w:val="34"/>
          <w:szCs w:val="34"/>
        </w:rPr>
        <w:t>present a complete analysis of the two most popular</w:t>
      </w:r>
      <w:r w:rsidR="001F258A">
        <w:rPr>
          <w:b/>
          <w:sz w:val="34"/>
          <w:szCs w:val="34"/>
        </w:rPr>
        <w:t xml:space="preserve"> fixed income </w:t>
      </w:r>
      <w:r w:rsidR="003861EE">
        <w:rPr>
          <w:b/>
          <w:sz w:val="34"/>
          <w:szCs w:val="34"/>
        </w:rPr>
        <w:t>factors</w:t>
      </w:r>
      <w:r>
        <w:rPr>
          <w:b/>
          <w:sz w:val="34"/>
          <w:szCs w:val="34"/>
        </w:rPr>
        <w:t>: value and momentum</w:t>
      </w:r>
    </w:p>
    <w:p w14:paraId="509C3AAE" w14:textId="77777777" w:rsidR="00B66FCF" w:rsidRDefault="00B66FCF" w:rsidP="00E75D2E">
      <w:pPr>
        <w:jc w:val="both"/>
      </w:pPr>
    </w:p>
    <w:p w14:paraId="3B0AF7F1" w14:textId="76499300" w:rsidR="00C97A7F" w:rsidRPr="00D15B0E" w:rsidRDefault="0086446C" w:rsidP="00B66FCF">
      <w:pPr>
        <w:spacing w:line="280" w:lineRule="atLeast"/>
        <w:jc w:val="both"/>
        <w:rPr>
          <w:snapToGrid w:val="0"/>
          <w:color w:val="000000"/>
          <w:sz w:val="23"/>
          <w:szCs w:val="23"/>
        </w:rPr>
      </w:pPr>
      <w:r w:rsidRPr="00D15B0E">
        <w:rPr>
          <w:snapToGrid w:val="0"/>
          <w:color w:val="000000"/>
          <w:sz w:val="23"/>
          <w:szCs w:val="23"/>
        </w:rPr>
        <w:t>Following up on more than a decade-long research effort in the area of factor investing in equity markets, we have felt a timely need among asset owners and asset managers to gain a better understanding of the theoretical and practical challenges involved in harvesting risk premia in fixed-income markets.</w:t>
      </w:r>
    </w:p>
    <w:p w14:paraId="0EB5E921" w14:textId="73BD5733" w:rsidR="00CE1FE7" w:rsidRPr="00D15B0E" w:rsidRDefault="00CE1FE7" w:rsidP="00B66FCF">
      <w:pPr>
        <w:spacing w:line="280" w:lineRule="atLeast"/>
        <w:jc w:val="both"/>
        <w:rPr>
          <w:snapToGrid w:val="0"/>
          <w:color w:val="000000"/>
          <w:sz w:val="23"/>
          <w:szCs w:val="23"/>
        </w:rPr>
      </w:pPr>
    </w:p>
    <w:p w14:paraId="36E6257A" w14:textId="0FDAB0A6" w:rsidR="0086446C" w:rsidRPr="00D15B0E" w:rsidRDefault="0086446C" w:rsidP="006C4B58">
      <w:pPr>
        <w:spacing w:line="280" w:lineRule="atLeast"/>
        <w:jc w:val="both"/>
        <w:rPr>
          <w:b/>
          <w:snapToGrid w:val="0"/>
          <w:color w:val="000000"/>
          <w:sz w:val="23"/>
          <w:szCs w:val="23"/>
        </w:rPr>
      </w:pPr>
      <w:r w:rsidRPr="00D15B0E">
        <w:rPr>
          <w:snapToGrid w:val="0"/>
          <w:color w:val="000000"/>
          <w:sz w:val="23"/>
          <w:szCs w:val="23"/>
        </w:rPr>
        <w:t xml:space="preserve">Two </w:t>
      </w:r>
      <w:r w:rsidR="00B66FCF" w:rsidRPr="00D15B0E">
        <w:rPr>
          <w:snapToGrid w:val="0"/>
          <w:color w:val="000000"/>
          <w:sz w:val="23"/>
          <w:szCs w:val="23"/>
        </w:rPr>
        <w:t>new stud</w:t>
      </w:r>
      <w:r w:rsidRPr="00D15B0E">
        <w:rPr>
          <w:snapToGrid w:val="0"/>
          <w:color w:val="000000"/>
          <w:sz w:val="23"/>
          <w:szCs w:val="23"/>
        </w:rPr>
        <w:t>ies</w:t>
      </w:r>
      <w:r w:rsidR="00B66FCF" w:rsidRPr="00D15B0E">
        <w:rPr>
          <w:snapToGrid w:val="0"/>
          <w:color w:val="000000"/>
          <w:sz w:val="23"/>
          <w:szCs w:val="23"/>
        </w:rPr>
        <w:t xml:space="preserve"> produced as part of the Amundi</w:t>
      </w:r>
      <w:r w:rsidR="004B0EBA" w:rsidRPr="00D15B0E">
        <w:rPr>
          <w:snapToGrid w:val="0"/>
          <w:color w:val="000000"/>
          <w:sz w:val="23"/>
          <w:szCs w:val="23"/>
        </w:rPr>
        <w:t xml:space="preserve"> </w:t>
      </w:r>
      <w:r w:rsidR="00B66FCF" w:rsidRPr="00D15B0E">
        <w:rPr>
          <w:snapToGrid w:val="0"/>
          <w:color w:val="000000"/>
          <w:sz w:val="23"/>
          <w:szCs w:val="23"/>
        </w:rPr>
        <w:t>research chair on “ETF, Index</w:t>
      </w:r>
      <w:r w:rsidR="00731C32" w:rsidRPr="00D15B0E">
        <w:rPr>
          <w:snapToGrid w:val="0"/>
          <w:color w:val="000000"/>
          <w:sz w:val="23"/>
          <w:szCs w:val="23"/>
        </w:rPr>
        <w:t>ing</w:t>
      </w:r>
      <w:r w:rsidR="00B66FCF" w:rsidRPr="00D15B0E">
        <w:rPr>
          <w:snapToGrid w:val="0"/>
          <w:color w:val="000000"/>
          <w:sz w:val="23"/>
          <w:szCs w:val="23"/>
        </w:rPr>
        <w:t xml:space="preserve"> and Smart Beta Investment </w:t>
      </w:r>
      <w:r w:rsidR="00125E83" w:rsidRPr="00D15B0E">
        <w:rPr>
          <w:snapToGrid w:val="0"/>
          <w:color w:val="000000"/>
          <w:sz w:val="23"/>
          <w:szCs w:val="23"/>
        </w:rPr>
        <w:t xml:space="preserve">Strategies” </w:t>
      </w:r>
      <w:r w:rsidR="000F17C1" w:rsidRPr="00D15B0E">
        <w:rPr>
          <w:b/>
          <w:snapToGrid w:val="0"/>
          <w:color w:val="000000"/>
          <w:sz w:val="23"/>
          <w:szCs w:val="23"/>
        </w:rPr>
        <w:t>focus</w:t>
      </w:r>
      <w:r w:rsidR="00125E83" w:rsidRPr="00D15B0E">
        <w:rPr>
          <w:b/>
          <w:snapToGrid w:val="0"/>
          <w:color w:val="000000"/>
          <w:sz w:val="23"/>
          <w:szCs w:val="23"/>
        </w:rPr>
        <w:t xml:space="preserve"> </w:t>
      </w:r>
      <w:r w:rsidR="00180DB3" w:rsidRPr="00D15B0E">
        <w:rPr>
          <w:b/>
          <w:snapToGrid w:val="0"/>
          <w:color w:val="000000"/>
          <w:sz w:val="23"/>
          <w:szCs w:val="23"/>
        </w:rPr>
        <w:t xml:space="preserve">on the two factors </w:t>
      </w:r>
      <w:r w:rsidR="00180DB3" w:rsidRPr="00D15B0E">
        <w:rPr>
          <w:b/>
          <w:sz w:val="23"/>
          <w:szCs w:val="23"/>
        </w:rPr>
        <w:t>that explain a large fraction of differences in the cross-section of bond returns</w:t>
      </w:r>
      <w:r w:rsidR="00180DB3" w:rsidRPr="00D15B0E">
        <w:rPr>
          <w:b/>
          <w:snapToGrid w:val="0"/>
          <w:color w:val="000000"/>
          <w:sz w:val="23"/>
          <w:szCs w:val="23"/>
        </w:rPr>
        <w:t>, namely “value” and “momentum”</w:t>
      </w:r>
      <w:r w:rsidR="003861EE" w:rsidRPr="00D15B0E">
        <w:rPr>
          <w:b/>
          <w:snapToGrid w:val="0"/>
          <w:color w:val="000000"/>
          <w:sz w:val="23"/>
          <w:szCs w:val="23"/>
        </w:rPr>
        <w:t>, using economically justified proxies for these attributes.</w:t>
      </w:r>
    </w:p>
    <w:p w14:paraId="313EEC16" w14:textId="55F3D8EA" w:rsidR="00FD720D" w:rsidRPr="00D15B0E" w:rsidRDefault="00FD720D" w:rsidP="006C4B58">
      <w:pPr>
        <w:spacing w:line="280" w:lineRule="atLeast"/>
        <w:jc w:val="both"/>
        <w:rPr>
          <w:snapToGrid w:val="0"/>
          <w:color w:val="000000"/>
          <w:sz w:val="23"/>
          <w:szCs w:val="23"/>
        </w:rPr>
      </w:pPr>
    </w:p>
    <w:p w14:paraId="76325F60" w14:textId="55ADE050" w:rsidR="006F3473" w:rsidRPr="00D15B0E" w:rsidRDefault="00FD720D" w:rsidP="00FD720D">
      <w:pPr>
        <w:spacing w:line="280" w:lineRule="atLeast"/>
        <w:jc w:val="both"/>
        <w:rPr>
          <w:sz w:val="23"/>
          <w:szCs w:val="23"/>
        </w:rPr>
      </w:pPr>
      <w:r w:rsidRPr="00D15B0E">
        <w:rPr>
          <w:sz w:val="23"/>
          <w:szCs w:val="23"/>
        </w:rPr>
        <w:t xml:space="preserve">In the publication </w:t>
      </w:r>
      <w:r w:rsidR="00D15B0E">
        <w:rPr>
          <w:sz w:val="23"/>
          <w:szCs w:val="23"/>
        </w:rPr>
        <w:t xml:space="preserve">entitled </w:t>
      </w:r>
      <w:r w:rsidRPr="00D15B0E">
        <w:rPr>
          <w:sz w:val="23"/>
          <w:szCs w:val="23"/>
        </w:rPr>
        <w:t>“</w:t>
      </w:r>
      <w:hyperlink r:id="rId9" w:history="1">
        <w:r w:rsidR="00CE1FE7" w:rsidRPr="00F923D7">
          <w:rPr>
            <w:rStyle w:val="Lienhypertexte"/>
            <w:i/>
            <w:sz w:val="23"/>
            <w:szCs w:val="23"/>
          </w:rPr>
          <w:t>Factor Investing in Fixed-Income – Defining and Exploiting Value in Sovereign Bond Markets</w:t>
        </w:r>
      </w:hyperlink>
      <w:r w:rsidRPr="00D15B0E">
        <w:rPr>
          <w:sz w:val="23"/>
          <w:szCs w:val="23"/>
        </w:rPr>
        <w:t>”</w:t>
      </w:r>
      <w:r w:rsidR="003861EE" w:rsidRPr="00D15B0E">
        <w:rPr>
          <w:sz w:val="23"/>
          <w:szCs w:val="23"/>
        </w:rPr>
        <w:t xml:space="preserve">, </w:t>
      </w:r>
      <w:r w:rsidR="001A2E27" w:rsidRPr="00D15B0E">
        <w:rPr>
          <w:sz w:val="23"/>
          <w:szCs w:val="23"/>
        </w:rPr>
        <w:t xml:space="preserve">the </w:t>
      </w:r>
      <w:r w:rsidR="003861EE" w:rsidRPr="00D15B0E">
        <w:rPr>
          <w:sz w:val="23"/>
          <w:szCs w:val="23"/>
        </w:rPr>
        <w:t xml:space="preserve">authors </w:t>
      </w:r>
      <w:r w:rsidRPr="00D15B0E">
        <w:rPr>
          <w:sz w:val="23"/>
          <w:szCs w:val="23"/>
        </w:rPr>
        <w:t>propose a deﬁnition of value in Treasury bonds that</w:t>
      </w:r>
      <w:r w:rsidR="003861EE" w:rsidRPr="00D15B0E">
        <w:rPr>
          <w:sz w:val="23"/>
          <w:szCs w:val="23"/>
        </w:rPr>
        <w:t xml:space="preserve"> </w:t>
      </w:r>
      <w:r w:rsidRPr="00D15B0E">
        <w:rPr>
          <w:sz w:val="23"/>
          <w:szCs w:val="23"/>
        </w:rPr>
        <w:t xml:space="preserve">is more satisfactory than </w:t>
      </w:r>
      <w:r w:rsidR="00D15B0E">
        <w:rPr>
          <w:sz w:val="23"/>
          <w:szCs w:val="23"/>
        </w:rPr>
        <w:t xml:space="preserve">those </w:t>
      </w:r>
      <w:r w:rsidRPr="00D15B0E">
        <w:rPr>
          <w:sz w:val="23"/>
          <w:szCs w:val="23"/>
        </w:rPr>
        <w:t xml:space="preserve">found in the recent literature, and that allows </w:t>
      </w:r>
      <w:r w:rsidR="00D15B0E">
        <w:rPr>
          <w:sz w:val="23"/>
          <w:szCs w:val="23"/>
        </w:rPr>
        <w:t xml:space="preserve">for </w:t>
      </w:r>
      <w:r w:rsidRPr="00D15B0E">
        <w:rPr>
          <w:sz w:val="23"/>
          <w:szCs w:val="23"/>
        </w:rPr>
        <w:t xml:space="preserve">statistically signiﬁcant and economically relevant predictions of cross-sectional excess returns. </w:t>
      </w:r>
    </w:p>
    <w:p w14:paraId="60174508" w14:textId="77777777" w:rsidR="006F3473" w:rsidRPr="00D15B0E" w:rsidRDefault="006F3473" w:rsidP="00FD720D">
      <w:pPr>
        <w:spacing w:line="280" w:lineRule="atLeast"/>
        <w:jc w:val="both"/>
        <w:rPr>
          <w:sz w:val="23"/>
          <w:szCs w:val="23"/>
        </w:rPr>
      </w:pPr>
    </w:p>
    <w:p w14:paraId="720C9B79" w14:textId="2C3BD82A" w:rsidR="000F17C1" w:rsidRPr="00D15B0E" w:rsidRDefault="003861EE" w:rsidP="000F17C1">
      <w:pPr>
        <w:pStyle w:val="Paragraphedeliste"/>
        <w:numPr>
          <w:ilvl w:val="0"/>
          <w:numId w:val="21"/>
        </w:numPr>
        <w:spacing w:line="280" w:lineRule="atLeast"/>
        <w:rPr>
          <w:rFonts w:ascii="Times New Roman" w:hAnsi="Times New Roman" w:cs="Times New Roman"/>
          <w:sz w:val="23"/>
          <w:szCs w:val="23"/>
        </w:rPr>
      </w:pPr>
      <w:r w:rsidRPr="00D15B0E">
        <w:rPr>
          <w:rFonts w:ascii="Times New Roman" w:hAnsi="Times New Roman" w:cs="Times New Roman"/>
          <w:sz w:val="23"/>
          <w:szCs w:val="23"/>
        </w:rPr>
        <w:t xml:space="preserve">They </w:t>
      </w:r>
      <w:r w:rsidR="001A2E27" w:rsidRPr="00D15B0E">
        <w:rPr>
          <w:rFonts w:ascii="Times New Roman" w:hAnsi="Times New Roman" w:cs="Times New Roman"/>
          <w:sz w:val="23"/>
          <w:szCs w:val="23"/>
        </w:rPr>
        <w:t>give an explanation of</w:t>
      </w:r>
      <w:r w:rsidR="00FD720D" w:rsidRPr="00D15B0E">
        <w:rPr>
          <w:rFonts w:ascii="Times New Roman" w:hAnsi="Times New Roman" w:cs="Times New Roman"/>
          <w:sz w:val="23"/>
          <w:szCs w:val="23"/>
        </w:rPr>
        <w:t xml:space="preserve"> the proﬁtability of the strategy buil</w:t>
      </w:r>
      <w:r w:rsidR="001A2E27" w:rsidRPr="00D15B0E">
        <w:rPr>
          <w:rFonts w:ascii="Times New Roman" w:hAnsi="Times New Roman" w:cs="Times New Roman"/>
          <w:sz w:val="23"/>
          <w:szCs w:val="23"/>
        </w:rPr>
        <w:t>t</w:t>
      </w:r>
      <w:r w:rsidR="00FD720D" w:rsidRPr="00D15B0E">
        <w:rPr>
          <w:rFonts w:ascii="Times New Roman" w:hAnsi="Times New Roman" w:cs="Times New Roman"/>
          <w:sz w:val="23"/>
          <w:szCs w:val="23"/>
        </w:rPr>
        <w:t xml:space="preserve"> using </w:t>
      </w:r>
      <w:r w:rsidRPr="00D15B0E">
        <w:rPr>
          <w:rFonts w:ascii="Times New Roman" w:hAnsi="Times New Roman" w:cs="Times New Roman"/>
          <w:sz w:val="23"/>
          <w:szCs w:val="23"/>
        </w:rPr>
        <w:t>their</w:t>
      </w:r>
      <w:r w:rsidR="00FD720D" w:rsidRPr="00D15B0E">
        <w:rPr>
          <w:rFonts w:ascii="Times New Roman" w:hAnsi="Times New Roman" w:cs="Times New Roman"/>
          <w:sz w:val="23"/>
          <w:szCs w:val="23"/>
        </w:rPr>
        <w:t xml:space="preserve"> value signal </w:t>
      </w:r>
      <w:r w:rsidR="001A2E27" w:rsidRPr="00D15B0E">
        <w:rPr>
          <w:rFonts w:ascii="Times New Roman" w:hAnsi="Times New Roman" w:cs="Times New Roman"/>
          <w:sz w:val="23"/>
          <w:szCs w:val="23"/>
        </w:rPr>
        <w:t>by</w:t>
      </w:r>
      <w:r w:rsidR="00FD720D" w:rsidRPr="00D15B0E">
        <w:rPr>
          <w:rFonts w:ascii="Times New Roman" w:hAnsi="Times New Roman" w:cs="Times New Roman"/>
          <w:sz w:val="23"/>
          <w:szCs w:val="23"/>
        </w:rPr>
        <w:t xml:space="preserve"> link</w:t>
      </w:r>
      <w:r w:rsidR="001A2E27" w:rsidRPr="00D15B0E">
        <w:rPr>
          <w:rFonts w:ascii="Times New Roman" w:hAnsi="Times New Roman" w:cs="Times New Roman"/>
          <w:sz w:val="23"/>
          <w:szCs w:val="23"/>
        </w:rPr>
        <w:t xml:space="preserve">ing it </w:t>
      </w:r>
      <w:r w:rsidR="00FD720D" w:rsidRPr="00D15B0E">
        <w:rPr>
          <w:rFonts w:ascii="Times New Roman" w:hAnsi="Times New Roman" w:cs="Times New Roman"/>
          <w:sz w:val="23"/>
          <w:szCs w:val="23"/>
        </w:rPr>
        <w:t xml:space="preserve">to </w:t>
      </w:r>
      <w:r w:rsidR="001A2E27" w:rsidRPr="00D15B0E">
        <w:rPr>
          <w:rFonts w:ascii="Times New Roman" w:hAnsi="Times New Roman" w:cs="Times New Roman"/>
          <w:sz w:val="23"/>
          <w:szCs w:val="23"/>
        </w:rPr>
        <w:t>market</w:t>
      </w:r>
      <w:r w:rsidR="00FD720D" w:rsidRPr="00D15B0E">
        <w:rPr>
          <w:rFonts w:ascii="Times New Roman" w:hAnsi="Times New Roman" w:cs="Times New Roman"/>
          <w:sz w:val="23"/>
          <w:szCs w:val="23"/>
        </w:rPr>
        <w:t xml:space="preserve"> </w:t>
      </w:r>
      <w:r w:rsidR="001A2E27" w:rsidRPr="00D15B0E">
        <w:rPr>
          <w:rFonts w:ascii="Times New Roman" w:hAnsi="Times New Roman" w:cs="Times New Roman"/>
          <w:sz w:val="23"/>
          <w:szCs w:val="23"/>
        </w:rPr>
        <w:t xml:space="preserve">liquidity and </w:t>
      </w:r>
      <w:r w:rsidR="00FD720D" w:rsidRPr="00D15B0E">
        <w:rPr>
          <w:rFonts w:ascii="Times New Roman" w:hAnsi="Times New Roman" w:cs="Times New Roman"/>
          <w:sz w:val="23"/>
          <w:szCs w:val="23"/>
        </w:rPr>
        <w:t>Treasury market volatility</w:t>
      </w:r>
      <w:r w:rsidR="00191026" w:rsidRPr="00D15B0E">
        <w:rPr>
          <w:rFonts w:ascii="Times New Roman" w:hAnsi="Times New Roman" w:cs="Times New Roman"/>
          <w:sz w:val="23"/>
          <w:szCs w:val="23"/>
        </w:rPr>
        <w:t>.</w:t>
      </w:r>
      <w:r w:rsidR="000F17C1" w:rsidRPr="00D15B0E">
        <w:rPr>
          <w:rFonts w:ascii="Times New Roman" w:hAnsi="Times New Roman" w:cs="Times New Roman"/>
          <w:sz w:val="23"/>
          <w:szCs w:val="23"/>
        </w:rPr>
        <w:t xml:space="preserve"> </w:t>
      </w:r>
    </w:p>
    <w:p w14:paraId="7E76771A" w14:textId="1A5356BA" w:rsidR="000F17C1" w:rsidRPr="00D15B0E" w:rsidRDefault="000F17C1" w:rsidP="000F17C1">
      <w:pPr>
        <w:pStyle w:val="Paragraphedeliste"/>
        <w:numPr>
          <w:ilvl w:val="0"/>
          <w:numId w:val="21"/>
        </w:numPr>
        <w:spacing w:line="280" w:lineRule="atLeast"/>
        <w:rPr>
          <w:rFonts w:ascii="Times New Roman" w:hAnsi="Times New Roman" w:cs="Times New Roman"/>
          <w:sz w:val="23"/>
          <w:szCs w:val="23"/>
        </w:rPr>
      </w:pPr>
      <w:r w:rsidRPr="00D15B0E">
        <w:rPr>
          <w:rFonts w:ascii="Times New Roman" w:hAnsi="Times New Roman" w:cs="Times New Roman"/>
          <w:sz w:val="23"/>
          <w:szCs w:val="23"/>
        </w:rPr>
        <w:t>Their value pricing factor exploits the diﬀerences between the market and the theoretical values of Treasury bonds</w:t>
      </w:r>
      <w:r w:rsidR="001A2E27" w:rsidRPr="00D15B0E">
        <w:rPr>
          <w:rFonts w:ascii="Times New Roman" w:hAnsi="Times New Roman" w:cs="Times New Roman"/>
          <w:sz w:val="23"/>
          <w:szCs w:val="23"/>
        </w:rPr>
        <w:t>, where value is ascertained using an economically-motivated term-structure model</w:t>
      </w:r>
      <w:r w:rsidRPr="00D15B0E">
        <w:rPr>
          <w:rFonts w:ascii="Times New Roman" w:hAnsi="Times New Roman" w:cs="Times New Roman"/>
          <w:sz w:val="23"/>
          <w:szCs w:val="23"/>
        </w:rPr>
        <w:t xml:space="preserve">. </w:t>
      </w:r>
    </w:p>
    <w:p w14:paraId="7D8F179C" w14:textId="7CDDF57B" w:rsidR="00B66FCF" w:rsidRPr="00D15B0E" w:rsidRDefault="006F3473" w:rsidP="006F3473">
      <w:pPr>
        <w:pStyle w:val="Paragraphedeliste"/>
        <w:numPr>
          <w:ilvl w:val="0"/>
          <w:numId w:val="21"/>
        </w:numPr>
        <w:spacing w:line="280" w:lineRule="atLeast"/>
        <w:rPr>
          <w:rFonts w:ascii="Times New Roman" w:hAnsi="Times New Roman" w:cs="Times New Roman"/>
          <w:sz w:val="23"/>
          <w:szCs w:val="23"/>
        </w:rPr>
      </w:pPr>
      <w:r w:rsidRPr="00D15B0E">
        <w:rPr>
          <w:rFonts w:ascii="Times New Roman" w:hAnsi="Times New Roman" w:cs="Times New Roman"/>
          <w:sz w:val="23"/>
          <w:szCs w:val="23"/>
        </w:rPr>
        <w:t>T</w:t>
      </w:r>
      <w:r w:rsidR="003861EE" w:rsidRPr="00D15B0E">
        <w:rPr>
          <w:rFonts w:ascii="Times New Roman" w:hAnsi="Times New Roman" w:cs="Times New Roman"/>
          <w:sz w:val="23"/>
          <w:szCs w:val="23"/>
        </w:rPr>
        <w:t>hey</w:t>
      </w:r>
      <w:r w:rsidR="00FD720D" w:rsidRPr="00D15B0E">
        <w:rPr>
          <w:rFonts w:ascii="Times New Roman" w:hAnsi="Times New Roman" w:cs="Times New Roman"/>
          <w:sz w:val="23"/>
          <w:szCs w:val="23"/>
        </w:rPr>
        <w:t xml:space="preserve"> provide an explanation for this strong link using arguments similar to what </w:t>
      </w:r>
      <w:r w:rsidR="00D15B0E">
        <w:rPr>
          <w:rFonts w:ascii="Times New Roman" w:hAnsi="Times New Roman" w:cs="Times New Roman"/>
          <w:sz w:val="23"/>
          <w:szCs w:val="23"/>
        </w:rPr>
        <w:t xml:space="preserve">can be </w:t>
      </w:r>
      <w:r w:rsidR="00FD720D" w:rsidRPr="00D15B0E">
        <w:rPr>
          <w:rFonts w:ascii="Times New Roman" w:hAnsi="Times New Roman" w:cs="Times New Roman"/>
          <w:sz w:val="23"/>
          <w:szCs w:val="23"/>
        </w:rPr>
        <w:t>found in the recent literature on liquidity in Treasuries.</w:t>
      </w:r>
    </w:p>
    <w:p w14:paraId="0B024CA7" w14:textId="430C51B1" w:rsidR="006F3473" w:rsidRPr="00D15B0E" w:rsidRDefault="00CE1FE7" w:rsidP="00CE1FE7">
      <w:pPr>
        <w:rPr>
          <w:sz w:val="23"/>
          <w:szCs w:val="23"/>
          <w:lang w:val="en-US"/>
        </w:rPr>
      </w:pPr>
      <w:r w:rsidRPr="00D15B0E">
        <w:rPr>
          <w:sz w:val="23"/>
          <w:szCs w:val="23"/>
          <w:lang w:val="en-US"/>
        </w:rPr>
        <w:t xml:space="preserve">In a companion paper </w:t>
      </w:r>
      <w:r w:rsidR="00D15B0E">
        <w:rPr>
          <w:sz w:val="23"/>
          <w:szCs w:val="23"/>
        </w:rPr>
        <w:t>entitled</w:t>
      </w:r>
      <w:r w:rsidR="00D15B0E" w:rsidRPr="00D15B0E">
        <w:rPr>
          <w:sz w:val="23"/>
          <w:szCs w:val="23"/>
          <w:lang w:val="en-US"/>
        </w:rPr>
        <w:t xml:space="preserve"> </w:t>
      </w:r>
      <w:r w:rsidRPr="00D15B0E">
        <w:rPr>
          <w:sz w:val="23"/>
          <w:szCs w:val="23"/>
          <w:lang w:val="en-US"/>
        </w:rPr>
        <w:t>“</w:t>
      </w:r>
      <w:hyperlink r:id="rId10" w:history="1">
        <w:r w:rsidRPr="00752BAD">
          <w:rPr>
            <w:rStyle w:val="Lienhypertexte"/>
            <w:i/>
            <w:sz w:val="23"/>
            <w:szCs w:val="23"/>
          </w:rPr>
          <w:t>Factor Investing in Fixed-Income – Cross-Sectional and Time-Series Momentum in Sovereign Bond Markets</w:t>
        </w:r>
      </w:hyperlink>
      <w:r w:rsidRPr="00D15B0E">
        <w:rPr>
          <w:i/>
          <w:sz w:val="23"/>
          <w:szCs w:val="23"/>
        </w:rPr>
        <w:t>”</w:t>
      </w:r>
      <w:r w:rsidRPr="00D15B0E">
        <w:rPr>
          <w:sz w:val="23"/>
          <w:szCs w:val="23"/>
          <w:lang w:val="en-US"/>
        </w:rPr>
        <w:t>,</w:t>
      </w:r>
      <w:r w:rsidRPr="00D15B0E">
        <w:rPr>
          <w:sz w:val="23"/>
          <w:szCs w:val="23"/>
        </w:rPr>
        <w:t xml:space="preserve"> </w:t>
      </w:r>
      <w:r w:rsidR="006F3473" w:rsidRPr="00D15B0E">
        <w:rPr>
          <w:sz w:val="23"/>
          <w:szCs w:val="23"/>
          <w:lang w:val="en-US"/>
        </w:rPr>
        <w:t xml:space="preserve">they </w:t>
      </w:r>
      <w:r w:rsidRPr="00D15B0E">
        <w:rPr>
          <w:sz w:val="23"/>
          <w:szCs w:val="23"/>
          <w:lang w:val="en-US"/>
        </w:rPr>
        <w:t xml:space="preserve">undertake a systematic, </w:t>
      </w:r>
      <w:r w:rsidRPr="00D15B0E">
        <w:rPr>
          <w:i/>
          <w:sz w:val="23"/>
          <w:szCs w:val="23"/>
          <w:lang w:val="en-US"/>
        </w:rPr>
        <w:t>security-level</w:t>
      </w:r>
      <w:r w:rsidRPr="00D15B0E">
        <w:rPr>
          <w:sz w:val="23"/>
          <w:szCs w:val="23"/>
          <w:lang w:val="en-US"/>
        </w:rPr>
        <w:t xml:space="preserve"> analysis of momentum and reversal strategies in US Treasuries</w:t>
      </w:r>
      <w:r w:rsidR="00D15B0E">
        <w:rPr>
          <w:sz w:val="23"/>
          <w:szCs w:val="23"/>
          <w:lang w:val="en-US"/>
        </w:rPr>
        <w:t>,</w:t>
      </w:r>
      <w:r w:rsidRPr="00D15B0E">
        <w:rPr>
          <w:sz w:val="23"/>
          <w:szCs w:val="23"/>
          <w:lang w:val="en-US"/>
        </w:rPr>
        <w:t xml:space="preserve"> covering more than 40 years of data.</w:t>
      </w:r>
      <w:r w:rsidR="003861EE" w:rsidRPr="00D15B0E">
        <w:rPr>
          <w:sz w:val="23"/>
          <w:szCs w:val="23"/>
          <w:lang w:val="en-US"/>
        </w:rPr>
        <w:t xml:space="preserve"> </w:t>
      </w:r>
    </w:p>
    <w:p w14:paraId="1D0A5295" w14:textId="70D7FC3F" w:rsidR="006F3473" w:rsidRPr="00D15B0E" w:rsidRDefault="006F3473" w:rsidP="00CE1FE7">
      <w:pPr>
        <w:rPr>
          <w:sz w:val="23"/>
          <w:szCs w:val="23"/>
          <w:lang w:val="en-US"/>
        </w:rPr>
      </w:pPr>
    </w:p>
    <w:p w14:paraId="1415D3CA" w14:textId="3C04BD09" w:rsidR="006F3473" w:rsidRPr="00D15B0E" w:rsidRDefault="006F3473" w:rsidP="006F3473">
      <w:pPr>
        <w:pStyle w:val="Paragraphedeliste"/>
        <w:numPr>
          <w:ilvl w:val="0"/>
          <w:numId w:val="21"/>
        </w:numPr>
        <w:spacing w:line="280" w:lineRule="atLeast"/>
        <w:rPr>
          <w:rFonts w:ascii="Times New Roman" w:hAnsi="Times New Roman" w:cs="Times New Roman"/>
          <w:sz w:val="23"/>
          <w:szCs w:val="23"/>
        </w:rPr>
      </w:pPr>
      <w:r w:rsidRPr="00D15B0E">
        <w:rPr>
          <w:rFonts w:ascii="Times New Roman" w:hAnsi="Times New Roman" w:cs="Times New Roman"/>
          <w:sz w:val="23"/>
          <w:szCs w:val="23"/>
        </w:rPr>
        <w:t xml:space="preserve">They ﬁnd that look-back and investment periods </w:t>
      </w:r>
      <w:r w:rsidR="00D15B0E" w:rsidRPr="00D15B0E">
        <w:rPr>
          <w:rFonts w:ascii="Times New Roman" w:hAnsi="Times New Roman" w:cs="Times New Roman"/>
          <w:sz w:val="23"/>
          <w:szCs w:val="23"/>
        </w:rPr>
        <w:t xml:space="preserve">exist </w:t>
      </w:r>
      <w:r w:rsidRPr="00D15B0E">
        <w:rPr>
          <w:rFonts w:ascii="Times New Roman" w:hAnsi="Times New Roman" w:cs="Times New Roman"/>
          <w:sz w:val="23"/>
          <w:szCs w:val="23"/>
        </w:rPr>
        <w:t>for which momentum times series strategies give rise to statistically and economically signiﬁcant Sharpe ratios</w:t>
      </w:r>
      <w:r w:rsidR="00191026" w:rsidRPr="00D15B0E">
        <w:rPr>
          <w:rFonts w:ascii="Times New Roman" w:hAnsi="Times New Roman" w:cs="Times New Roman"/>
          <w:sz w:val="23"/>
          <w:szCs w:val="23"/>
        </w:rPr>
        <w:t>.</w:t>
      </w:r>
    </w:p>
    <w:p w14:paraId="7B4ED1F6" w14:textId="63D613CC" w:rsidR="006F3473" w:rsidRPr="00D15B0E" w:rsidRDefault="001A2E27" w:rsidP="006F3473">
      <w:pPr>
        <w:pStyle w:val="Paragraphedeliste"/>
        <w:numPr>
          <w:ilvl w:val="0"/>
          <w:numId w:val="21"/>
        </w:numPr>
        <w:spacing w:line="280" w:lineRule="atLeast"/>
        <w:rPr>
          <w:rFonts w:ascii="Times New Roman" w:hAnsi="Times New Roman" w:cs="Times New Roman"/>
          <w:sz w:val="23"/>
          <w:szCs w:val="23"/>
        </w:rPr>
      </w:pPr>
      <w:r w:rsidRPr="00D15B0E">
        <w:rPr>
          <w:rFonts w:ascii="Times New Roman" w:hAnsi="Times New Roman" w:cs="Times New Roman"/>
          <w:sz w:val="23"/>
          <w:szCs w:val="23"/>
        </w:rPr>
        <w:t>T</w:t>
      </w:r>
      <w:r w:rsidR="006F3473" w:rsidRPr="00D15B0E">
        <w:rPr>
          <w:rFonts w:ascii="Times New Roman" w:hAnsi="Times New Roman" w:cs="Times New Roman"/>
          <w:sz w:val="23"/>
          <w:szCs w:val="23"/>
        </w:rPr>
        <w:t xml:space="preserve">hey ﬁnd that, after adjusting for duration, the reversal cross-sectional strategy has even larger Sharpe ratios, and is proﬁtable over a wider range of look-back and investment periods. </w:t>
      </w:r>
    </w:p>
    <w:p w14:paraId="238854CE" w14:textId="1CD4C3AF" w:rsidR="006F3473" w:rsidRPr="00D15B0E" w:rsidRDefault="006F3473" w:rsidP="006F3473">
      <w:pPr>
        <w:pStyle w:val="Paragraphedeliste"/>
        <w:numPr>
          <w:ilvl w:val="0"/>
          <w:numId w:val="21"/>
        </w:numPr>
        <w:spacing w:line="280" w:lineRule="atLeast"/>
        <w:rPr>
          <w:rFonts w:ascii="Times New Roman" w:hAnsi="Times New Roman" w:cs="Times New Roman"/>
          <w:sz w:val="23"/>
          <w:szCs w:val="23"/>
        </w:rPr>
      </w:pPr>
      <w:r w:rsidRPr="00D15B0E">
        <w:rPr>
          <w:rFonts w:ascii="Times New Roman" w:hAnsi="Times New Roman" w:cs="Times New Roman"/>
          <w:sz w:val="23"/>
          <w:szCs w:val="23"/>
        </w:rPr>
        <w:t>They ﬁnd an explanation for this ﬁnding in the mean reverting properties of the yield-curve slope.</w:t>
      </w:r>
    </w:p>
    <w:p w14:paraId="6A375251" w14:textId="5324E2B7" w:rsidR="006F3473" w:rsidRPr="00D15B0E" w:rsidRDefault="006F3473" w:rsidP="006F3473">
      <w:pPr>
        <w:pStyle w:val="Paragraphedeliste"/>
        <w:numPr>
          <w:ilvl w:val="0"/>
          <w:numId w:val="21"/>
        </w:numPr>
        <w:spacing w:line="280" w:lineRule="atLeast"/>
        <w:rPr>
          <w:rFonts w:ascii="Times New Roman" w:hAnsi="Times New Roman" w:cs="Times New Roman"/>
          <w:sz w:val="23"/>
          <w:szCs w:val="23"/>
        </w:rPr>
      </w:pPr>
      <w:r w:rsidRPr="00D15B0E">
        <w:rPr>
          <w:rFonts w:ascii="Times New Roman" w:hAnsi="Times New Roman" w:cs="Times New Roman"/>
          <w:sz w:val="23"/>
          <w:szCs w:val="23"/>
        </w:rPr>
        <w:t>They show that the duration-adjusted reversal cross-sectional strategy can be successfully implemented in a long-only fashion.</w:t>
      </w:r>
    </w:p>
    <w:p w14:paraId="4BCC4C2C" w14:textId="09DBD6B9" w:rsidR="00CE1FE7" w:rsidRDefault="00CE1FE7" w:rsidP="00FD720D">
      <w:pPr>
        <w:spacing w:line="280" w:lineRule="atLeast"/>
        <w:jc w:val="both"/>
        <w:rPr>
          <w:sz w:val="23"/>
          <w:szCs w:val="23"/>
        </w:rPr>
      </w:pPr>
    </w:p>
    <w:p w14:paraId="51C922AA" w14:textId="77777777" w:rsidR="00CE693E" w:rsidRPr="00D15B0E" w:rsidRDefault="00CE693E" w:rsidP="00FD720D">
      <w:pPr>
        <w:spacing w:line="280" w:lineRule="atLeast"/>
        <w:jc w:val="both"/>
        <w:rPr>
          <w:sz w:val="23"/>
          <w:szCs w:val="23"/>
        </w:rPr>
      </w:pPr>
    </w:p>
    <w:p w14:paraId="5B4AB695" w14:textId="0F59036B" w:rsidR="00435380" w:rsidRPr="00D15B0E" w:rsidRDefault="00435380" w:rsidP="00435380">
      <w:pPr>
        <w:jc w:val="both"/>
        <w:rPr>
          <w:sz w:val="23"/>
          <w:szCs w:val="23"/>
          <w:lang w:val="en-US"/>
        </w:rPr>
      </w:pPr>
      <w:r w:rsidRPr="00D15B0E">
        <w:rPr>
          <w:snapToGrid w:val="0"/>
          <w:color w:val="000000"/>
          <w:sz w:val="23"/>
          <w:szCs w:val="23"/>
        </w:rPr>
        <w:lastRenderedPageBreak/>
        <w:t>Commenting on this research, Riccardo Rebonato</w:t>
      </w:r>
      <w:r w:rsidR="00D15B0E">
        <w:rPr>
          <w:snapToGrid w:val="0"/>
          <w:color w:val="000000"/>
          <w:sz w:val="23"/>
          <w:szCs w:val="23"/>
        </w:rPr>
        <w:t xml:space="preserve"> – </w:t>
      </w:r>
      <w:r w:rsidRPr="00D15B0E">
        <w:rPr>
          <w:snapToGrid w:val="0"/>
          <w:color w:val="000000"/>
          <w:sz w:val="23"/>
          <w:szCs w:val="23"/>
        </w:rPr>
        <w:t>Professor of Finance at EDHEC-Risk Institute, EDHEC Business School, s</w:t>
      </w:r>
      <w:bookmarkStart w:id="0" w:name="_GoBack"/>
      <w:bookmarkEnd w:id="0"/>
      <w:r w:rsidRPr="00D15B0E">
        <w:rPr>
          <w:snapToGrid w:val="0"/>
          <w:color w:val="000000"/>
          <w:sz w:val="23"/>
          <w:szCs w:val="23"/>
        </w:rPr>
        <w:t>aid “</w:t>
      </w:r>
      <w:r w:rsidR="001A2E27" w:rsidRPr="00D15B0E">
        <w:rPr>
          <w:snapToGrid w:val="0"/>
          <w:color w:val="000000"/>
          <w:sz w:val="23"/>
          <w:szCs w:val="23"/>
        </w:rPr>
        <w:t>Return predictability in Treasury Bond market is currently one of the most exciting areas for smart-beta investment.</w:t>
      </w:r>
      <w:r w:rsidR="00191026" w:rsidRPr="00D15B0E">
        <w:rPr>
          <w:snapToGrid w:val="0"/>
          <w:color w:val="000000"/>
          <w:sz w:val="23"/>
          <w:szCs w:val="23"/>
        </w:rPr>
        <w:t xml:space="preserve"> </w:t>
      </w:r>
      <w:r w:rsidR="001A2E27" w:rsidRPr="00D15B0E">
        <w:rPr>
          <w:snapToGrid w:val="0"/>
          <w:color w:val="000000"/>
          <w:sz w:val="23"/>
          <w:szCs w:val="23"/>
        </w:rPr>
        <w:t>The papers mentioned above are two contributions in a much wider research programme at EDHEC, focused on the cross-sectional and time series predictability in the fixed-income space</w:t>
      </w:r>
      <w:r w:rsidRPr="00D15B0E">
        <w:rPr>
          <w:snapToGrid w:val="0"/>
          <w:color w:val="000000"/>
          <w:sz w:val="23"/>
          <w:szCs w:val="23"/>
        </w:rPr>
        <w:t>”</w:t>
      </w:r>
      <w:r w:rsidR="00731C32" w:rsidRPr="00D15B0E">
        <w:rPr>
          <w:snapToGrid w:val="0"/>
          <w:color w:val="000000"/>
          <w:sz w:val="23"/>
          <w:szCs w:val="23"/>
        </w:rPr>
        <w:t>.</w:t>
      </w:r>
      <w:r w:rsidRPr="00D15B0E">
        <w:rPr>
          <w:rFonts w:ascii="Calibri" w:hAnsi="Calibri" w:cs="Calibri"/>
          <w:color w:val="1F497D"/>
          <w:sz w:val="23"/>
          <w:szCs w:val="23"/>
          <w:lang w:eastAsia="en-US"/>
        </w:rPr>
        <w:t xml:space="preserve"> </w:t>
      </w:r>
    </w:p>
    <w:p w14:paraId="11A61A05" w14:textId="77777777" w:rsidR="00E92E6B" w:rsidRPr="00D15B0E" w:rsidRDefault="00E92E6B" w:rsidP="00E92E6B">
      <w:pPr>
        <w:spacing w:line="280" w:lineRule="atLeast"/>
        <w:jc w:val="both"/>
        <w:rPr>
          <w:snapToGrid w:val="0"/>
          <w:color w:val="000000"/>
          <w:sz w:val="23"/>
          <w:szCs w:val="23"/>
        </w:rPr>
      </w:pPr>
    </w:p>
    <w:p w14:paraId="63F7BCDF" w14:textId="10704E29" w:rsidR="002C2403" w:rsidRPr="00D15B0E" w:rsidRDefault="002C2403" w:rsidP="0090775E">
      <w:pPr>
        <w:jc w:val="both"/>
        <w:rPr>
          <w:snapToGrid w:val="0"/>
          <w:color w:val="000000"/>
          <w:sz w:val="23"/>
          <w:szCs w:val="23"/>
          <w:lang w:val="en-US"/>
        </w:rPr>
      </w:pPr>
      <w:r w:rsidRPr="00D15B0E">
        <w:rPr>
          <w:snapToGrid w:val="0"/>
          <w:color w:val="000000"/>
          <w:sz w:val="23"/>
          <w:szCs w:val="23"/>
          <w:lang w:val="en-US"/>
        </w:rPr>
        <w:t>Bruno Taillardat, Head of Smart Beta &amp; Factor Investing at Amundi, added his thoughts:</w:t>
      </w:r>
      <w:r w:rsidR="001806C5">
        <w:rPr>
          <w:snapToGrid w:val="0"/>
          <w:color w:val="000000"/>
          <w:sz w:val="23"/>
          <w:szCs w:val="23"/>
          <w:lang w:val="en-US"/>
        </w:rPr>
        <w:t xml:space="preserve"> </w:t>
      </w:r>
      <w:r w:rsidRPr="00A36E48">
        <w:rPr>
          <w:snapToGrid w:val="0"/>
          <w:color w:val="000000"/>
          <w:sz w:val="23"/>
          <w:szCs w:val="23"/>
          <w:lang w:val="en-US"/>
        </w:rPr>
        <w:t>"The increasing adoption of Smart Beta and factor-based solutions, particularly in the area of fixed income investment, represents an exciting challenge for asset managers seeking to design the right solutions to address clients' needs. To further enhance Amundi's strong engagement to helping investors meet their asset allocation goals, our partnership with the EDHEC-Risk Institute is a key element to strengthen our leadership in providing education and research tools."</w:t>
      </w:r>
    </w:p>
    <w:p w14:paraId="2C40F015" w14:textId="20AC7228" w:rsidR="009752DC" w:rsidRPr="002C2403" w:rsidRDefault="009752DC" w:rsidP="00E92E6B">
      <w:pPr>
        <w:spacing w:line="280" w:lineRule="atLeast"/>
        <w:jc w:val="both"/>
        <w:rPr>
          <w:snapToGrid w:val="0"/>
          <w:color w:val="000000"/>
          <w:sz w:val="23"/>
          <w:szCs w:val="23"/>
          <w:lang w:val="en-US"/>
        </w:rPr>
      </w:pPr>
    </w:p>
    <w:p w14:paraId="293BF200" w14:textId="5D6A97BD" w:rsidR="0042230C" w:rsidRDefault="0042230C" w:rsidP="00B66FCF">
      <w:pPr>
        <w:spacing w:line="280" w:lineRule="atLeast"/>
        <w:jc w:val="both"/>
        <w:rPr>
          <w:snapToGrid w:val="0"/>
          <w:color w:val="000000"/>
          <w:sz w:val="23"/>
          <w:szCs w:val="23"/>
        </w:rPr>
      </w:pPr>
      <w:r>
        <w:rPr>
          <w:snapToGrid w:val="0"/>
          <w:color w:val="000000"/>
          <w:sz w:val="23"/>
          <w:szCs w:val="23"/>
        </w:rPr>
        <w:t xml:space="preserve">You can access here the publications </w:t>
      </w:r>
      <w:r w:rsidRPr="0042230C">
        <w:rPr>
          <w:snapToGrid w:val="0"/>
          <w:color w:val="000000"/>
          <w:sz w:val="23"/>
          <w:szCs w:val="23"/>
        </w:rPr>
        <w:t>“</w:t>
      </w:r>
      <w:hyperlink r:id="rId11" w:history="1">
        <w:r w:rsidRPr="00F923D7">
          <w:rPr>
            <w:rStyle w:val="Lienhypertexte"/>
            <w:snapToGrid w:val="0"/>
            <w:sz w:val="23"/>
            <w:szCs w:val="23"/>
          </w:rPr>
          <w:t>Factor Investing in Fixed-Income – Defining and Exploiting Value in Sovereign Bond Markets</w:t>
        </w:r>
      </w:hyperlink>
      <w:r w:rsidRPr="0042230C">
        <w:rPr>
          <w:snapToGrid w:val="0"/>
          <w:color w:val="000000"/>
          <w:sz w:val="23"/>
          <w:szCs w:val="23"/>
        </w:rPr>
        <w:t xml:space="preserve">” </w:t>
      </w:r>
      <w:r>
        <w:rPr>
          <w:snapToGrid w:val="0"/>
          <w:color w:val="000000"/>
          <w:sz w:val="23"/>
          <w:szCs w:val="23"/>
        </w:rPr>
        <w:t>and “</w:t>
      </w:r>
      <w:hyperlink r:id="rId12" w:history="1">
        <w:r w:rsidRPr="00752BAD">
          <w:rPr>
            <w:rStyle w:val="Lienhypertexte"/>
            <w:snapToGrid w:val="0"/>
            <w:sz w:val="23"/>
            <w:szCs w:val="23"/>
          </w:rPr>
          <w:t>Factor Investing in Fixed-Income – Cross-Sectional and Time-Series Momentum in Sovereign Bond Markets</w:t>
        </w:r>
      </w:hyperlink>
      <w:r w:rsidR="008C288C">
        <w:rPr>
          <w:snapToGrid w:val="0"/>
          <w:color w:val="000000"/>
          <w:sz w:val="23"/>
          <w:szCs w:val="23"/>
        </w:rPr>
        <w:t>.</w:t>
      </w:r>
      <w:r>
        <w:rPr>
          <w:snapToGrid w:val="0"/>
          <w:color w:val="000000"/>
          <w:sz w:val="23"/>
          <w:szCs w:val="23"/>
        </w:rPr>
        <w:t>”</w:t>
      </w:r>
    </w:p>
    <w:p w14:paraId="474B3BA1" w14:textId="6AE03F6B" w:rsidR="0042230C" w:rsidRDefault="0042230C" w:rsidP="00B66FCF">
      <w:pPr>
        <w:spacing w:line="280" w:lineRule="atLeast"/>
        <w:jc w:val="both"/>
        <w:rPr>
          <w:snapToGrid w:val="0"/>
          <w:color w:val="000000"/>
          <w:sz w:val="23"/>
          <w:szCs w:val="23"/>
        </w:rPr>
      </w:pPr>
    </w:p>
    <w:p w14:paraId="37EDDE36" w14:textId="77777777" w:rsidR="00F923D7" w:rsidRDefault="00F923D7" w:rsidP="00B66FCF">
      <w:pPr>
        <w:spacing w:line="280" w:lineRule="atLeast"/>
        <w:jc w:val="both"/>
        <w:rPr>
          <w:snapToGrid w:val="0"/>
          <w:color w:val="000000"/>
          <w:sz w:val="23"/>
          <w:szCs w:val="23"/>
        </w:rPr>
      </w:pPr>
    </w:p>
    <w:p w14:paraId="6EE9D310" w14:textId="2F72CA41" w:rsidR="00B73D40" w:rsidRPr="00D15B0E" w:rsidRDefault="00B73D40" w:rsidP="00B66FCF">
      <w:pPr>
        <w:spacing w:line="280" w:lineRule="atLeast"/>
        <w:jc w:val="both"/>
        <w:rPr>
          <w:snapToGrid w:val="0"/>
          <w:color w:val="000000"/>
          <w:sz w:val="23"/>
          <w:szCs w:val="23"/>
        </w:rPr>
      </w:pPr>
      <w:r w:rsidRPr="00D15B0E">
        <w:rPr>
          <w:snapToGrid w:val="0"/>
          <w:color w:val="000000"/>
          <w:sz w:val="23"/>
          <w:szCs w:val="23"/>
        </w:rPr>
        <w:t xml:space="preserve">In </w:t>
      </w:r>
      <w:r w:rsidR="003861EE" w:rsidRPr="00D15B0E">
        <w:rPr>
          <w:snapToGrid w:val="0"/>
          <w:color w:val="000000"/>
          <w:sz w:val="23"/>
          <w:szCs w:val="23"/>
        </w:rPr>
        <w:t>a</w:t>
      </w:r>
      <w:r w:rsidRPr="00D15B0E">
        <w:rPr>
          <w:snapToGrid w:val="0"/>
          <w:color w:val="000000"/>
          <w:sz w:val="23"/>
          <w:szCs w:val="23"/>
        </w:rPr>
        <w:t xml:space="preserve"> companion paper</w:t>
      </w:r>
      <w:r w:rsidR="003861EE" w:rsidRPr="00D15B0E">
        <w:rPr>
          <w:snapToGrid w:val="0"/>
          <w:color w:val="000000"/>
          <w:sz w:val="23"/>
          <w:szCs w:val="23"/>
        </w:rPr>
        <w:t xml:space="preserve"> </w:t>
      </w:r>
      <w:r w:rsidRPr="00D15B0E">
        <w:rPr>
          <w:snapToGrid w:val="0"/>
          <w:color w:val="000000"/>
          <w:sz w:val="23"/>
          <w:szCs w:val="23"/>
        </w:rPr>
        <w:t xml:space="preserve">released in </w:t>
      </w:r>
      <w:r w:rsidR="003861EE" w:rsidRPr="00D15B0E">
        <w:rPr>
          <w:snapToGrid w:val="0"/>
          <w:color w:val="000000"/>
          <w:sz w:val="23"/>
          <w:szCs w:val="23"/>
        </w:rPr>
        <w:t xml:space="preserve">May entitled </w:t>
      </w:r>
      <w:hyperlink r:id="rId13" w:history="1">
        <w:r w:rsidR="003861EE" w:rsidRPr="00D15B0E">
          <w:rPr>
            <w:rStyle w:val="Lienhypertexte"/>
            <w:snapToGrid w:val="0"/>
            <w:sz w:val="23"/>
            <w:szCs w:val="23"/>
          </w:rPr>
          <w:t>Factor Investing in Sovereign Bond Markets - A Time-Series Perspective</w:t>
        </w:r>
      </w:hyperlink>
      <w:r w:rsidRPr="00D15B0E">
        <w:rPr>
          <w:snapToGrid w:val="0"/>
          <w:color w:val="000000"/>
          <w:sz w:val="23"/>
          <w:szCs w:val="23"/>
        </w:rPr>
        <w:t xml:space="preserve">, </w:t>
      </w:r>
      <w:r w:rsidR="00455B88" w:rsidRPr="00D15B0E">
        <w:rPr>
          <w:snapToGrid w:val="0"/>
          <w:color w:val="000000"/>
          <w:sz w:val="23"/>
          <w:szCs w:val="23"/>
        </w:rPr>
        <w:t xml:space="preserve">the </w:t>
      </w:r>
      <w:r w:rsidR="007C18BD" w:rsidRPr="00D15B0E">
        <w:rPr>
          <w:snapToGrid w:val="0"/>
          <w:color w:val="000000"/>
          <w:sz w:val="23"/>
          <w:szCs w:val="23"/>
        </w:rPr>
        <w:t xml:space="preserve">same authors </w:t>
      </w:r>
      <w:r w:rsidR="003861EE" w:rsidRPr="00D15B0E">
        <w:rPr>
          <w:snapToGrid w:val="0"/>
          <w:color w:val="000000"/>
          <w:sz w:val="23"/>
          <w:szCs w:val="23"/>
        </w:rPr>
        <w:t xml:space="preserve">focused on the two factors that explain a large fraction of differences over time in bond returns, namely the “level” or “slope” of the yield curve. </w:t>
      </w:r>
    </w:p>
    <w:p w14:paraId="2C43587D" w14:textId="77777777" w:rsidR="003861EE" w:rsidRDefault="003861EE" w:rsidP="004B0EBA">
      <w:pPr>
        <w:jc w:val="both"/>
      </w:pPr>
    </w:p>
    <w:p w14:paraId="6DCA6082" w14:textId="77777777" w:rsidR="00B73D40" w:rsidRPr="00F147F4" w:rsidRDefault="00B73D40" w:rsidP="00B73D40">
      <w:pPr>
        <w:autoSpaceDE w:val="0"/>
        <w:autoSpaceDN w:val="0"/>
        <w:adjustRightInd w:val="0"/>
        <w:jc w:val="both"/>
        <w:rPr>
          <w:snapToGrid w:val="0"/>
          <w:color w:val="000000"/>
          <w:sz w:val="22"/>
          <w:szCs w:val="22"/>
        </w:rPr>
      </w:pPr>
      <w:r>
        <w:rPr>
          <w:b/>
          <w:bCs/>
          <w:noProof/>
          <w:sz w:val="28"/>
          <w:szCs w:val="28"/>
          <w:lang w:val="fr-FR"/>
        </w:rPr>
        <mc:AlternateContent>
          <mc:Choice Requires="wpg">
            <w:drawing>
              <wp:anchor distT="0" distB="0" distL="114300" distR="114300" simplePos="0" relativeHeight="251658240" behindDoc="1" locked="0" layoutInCell="1" allowOverlap="1" wp14:anchorId="3B93191F" wp14:editId="15379D9F">
                <wp:simplePos x="0" y="0"/>
                <wp:positionH relativeFrom="column">
                  <wp:posOffset>-76200</wp:posOffset>
                </wp:positionH>
                <wp:positionV relativeFrom="paragraph">
                  <wp:posOffset>172720</wp:posOffset>
                </wp:positionV>
                <wp:extent cx="5829300" cy="952500"/>
                <wp:effectExtent l="0" t="0" r="0"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952500"/>
                          <a:chOff x="1418" y="1238"/>
                          <a:chExt cx="9180" cy="1620"/>
                        </a:xfrm>
                      </wpg:grpSpPr>
                      <wps:wsp>
                        <wps:cNvPr id="8" name="Rectangle 31"/>
                        <wps:cNvSpPr>
                          <a:spLocks noChangeArrowheads="1"/>
                        </wps:cNvSpPr>
                        <wps:spPr bwMode="auto">
                          <a:xfrm>
                            <a:off x="1418" y="1238"/>
                            <a:ext cx="9180" cy="162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2" descr="edhec logo press releas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95" y="1571"/>
                            <a:ext cx="1009" cy="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E8F6ED" id="Groupe 7" o:spid="_x0000_s1026" style="position:absolute;margin-left:-6pt;margin-top:13.6pt;width:459pt;height:75pt;z-index:-251658240"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">
                <v:rect id="Rectangle 31" o:spid="_x0000_s1027" style="position:absolute;left:1418;top:1238;width:91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edhec logo press release 3" style="position:absolute;left:1595;top:1571;width:100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">
                  <v:imagedata r:id="rId15" o:title="edhec logo press release 3"/>
                </v:shape>
              </v:group>
            </w:pict>
          </mc:Fallback>
        </mc:AlternateContent>
      </w:r>
    </w:p>
    <w:p w14:paraId="07E55789" w14:textId="77777777" w:rsidR="00B73D40" w:rsidRPr="00F147F4" w:rsidRDefault="00B73D40" w:rsidP="00B73D40">
      <w:pPr>
        <w:tabs>
          <w:tab w:val="left" w:pos="3240"/>
        </w:tabs>
        <w:spacing w:line="280" w:lineRule="atLeast"/>
        <w:ind w:left="1622"/>
        <w:jc w:val="both"/>
        <w:rPr>
          <w:b/>
          <w:bCs/>
          <w:color w:val="800000"/>
          <w:sz w:val="22"/>
          <w:szCs w:val="22"/>
        </w:rPr>
      </w:pPr>
      <w:r w:rsidRPr="00F147F4">
        <w:rPr>
          <w:b/>
          <w:bCs/>
          <w:color w:val="800000"/>
          <w:sz w:val="22"/>
          <w:szCs w:val="22"/>
        </w:rPr>
        <w:t>Contact:</w:t>
      </w:r>
    </w:p>
    <w:p w14:paraId="045BE370" w14:textId="77777777" w:rsidR="00B73D40" w:rsidRPr="00F147F4" w:rsidRDefault="00B73D40" w:rsidP="00B73D40">
      <w:pPr>
        <w:tabs>
          <w:tab w:val="left" w:pos="3240"/>
        </w:tabs>
        <w:spacing w:line="280" w:lineRule="atLeast"/>
        <w:ind w:left="1620"/>
        <w:jc w:val="both"/>
        <w:rPr>
          <w:b/>
          <w:bCs/>
          <w:sz w:val="22"/>
          <w:szCs w:val="22"/>
        </w:rPr>
      </w:pPr>
      <w:r w:rsidRPr="00F147F4">
        <w:rPr>
          <w:sz w:val="22"/>
          <w:szCs w:val="22"/>
        </w:rPr>
        <w:t xml:space="preserve">For more information, please contact: </w:t>
      </w:r>
      <w:r w:rsidRPr="00F147F4">
        <w:rPr>
          <w:b/>
          <w:bCs/>
          <w:sz w:val="22"/>
          <w:szCs w:val="22"/>
        </w:rPr>
        <w:t>Maud Gauchon</w:t>
      </w:r>
    </w:p>
    <w:p w14:paraId="5430E9CC" w14:textId="77777777" w:rsidR="00B73D40" w:rsidRPr="002C2403" w:rsidRDefault="00B73D40" w:rsidP="00B73D40">
      <w:pPr>
        <w:tabs>
          <w:tab w:val="left" w:pos="3240"/>
        </w:tabs>
        <w:spacing w:line="280" w:lineRule="atLeast"/>
        <w:ind w:left="1620"/>
        <w:jc w:val="both"/>
        <w:rPr>
          <w:sz w:val="22"/>
          <w:szCs w:val="22"/>
          <w:lang w:val="pt-BR"/>
        </w:rPr>
      </w:pPr>
      <w:r w:rsidRPr="002C2403">
        <w:rPr>
          <w:sz w:val="22"/>
          <w:szCs w:val="22"/>
          <w:lang w:val="pt-BR"/>
        </w:rPr>
        <w:t xml:space="preserve">Tel.: </w:t>
      </w:r>
      <w:r w:rsidRPr="002C2403">
        <w:rPr>
          <w:b/>
          <w:bCs/>
          <w:sz w:val="22"/>
          <w:szCs w:val="22"/>
          <w:lang w:val="pt-BR"/>
        </w:rPr>
        <w:t>+33 493 187 887</w:t>
      </w:r>
      <w:r w:rsidRPr="002C2403">
        <w:rPr>
          <w:sz w:val="22"/>
          <w:szCs w:val="22"/>
          <w:lang w:val="pt-BR"/>
        </w:rPr>
        <w:t xml:space="preserve"> – E-mail: </w:t>
      </w:r>
      <w:hyperlink r:id="rId16" w:history="1">
        <w:r w:rsidRPr="002C2403">
          <w:rPr>
            <w:rStyle w:val="Lienhypertexte"/>
            <w:rFonts w:eastAsia="SimSun"/>
            <w:sz w:val="22"/>
            <w:szCs w:val="22"/>
            <w:lang w:val="pt-BR"/>
          </w:rPr>
          <w:t>maud.gauchon@edhec-risk.com</w:t>
        </w:r>
      </w:hyperlink>
    </w:p>
    <w:p w14:paraId="73861418" w14:textId="77777777" w:rsidR="00B73D40" w:rsidRPr="00F147F4" w:rsidRDefault="00B73D40" w:rsidP="00B73D40">
      <w:pPr>
        <w:tabs>
          <w:tab w:val="left" w:pos="3240"/>
        </w:tabs>
        <w:spacing w:line="280" w:lineRule="atLeast"/>
        <w:ind w:left="1620"/>
      </w:pPr>
      <w:r w:rsidRPr="00F147F4">
        <w:rPr>
          <w:sz w:val="22"/>
          <w:szCs w:val="22"/>
        </w:rPr>
        <w:t xml:space="preserve">To visit our web site: </w:t>
      </w:r>
      <w:hyperlink r:id="rId17" w:history="1">
        <w:r w:rsidRPr="00F147F4">
          <w:rPr>
            <w:rStyle w:val="Lienhypertexte"/>
            <w:rFonts w:eastAsia="SimSun"/>
            <w:sz w:val="22"/>
            <w:szCs w:val="22"/>
          </w:rPr>
          <w:t>www.edhec-risk.com</w:t>
        </w:r>
      </w:hyperlink>
    </w:p>
    <w:p w14:paraId="79BDC684" w14:textId="77777777" w:rsidR="00B73D40" w:rsidRDefault="00B73D40" w:rsidP="00B73D40">
      <w:pPr>
        <w:spacing w:line="360" w:lineRule="auto"/>
        <w:jc w:val="both"/>
        <w:rPr>
          <w:b/>
          <w:bCs/>
          <w:sz w:val="28"/>
          <w:szCs w:val="28"/>
        </w:rPr>
      </w:pPr>
    </w:p>
    <w:p w14:paraId="4F3DBEA9" w14:textId="77777777" w:rsidR="00C93AE1" w:rsidRDefault="00C93AE1" w:rsidP="00B73D40">
      <w:pPr>
        <w:spacing w:line="360" w:lineRule="auto"/>
        <w:jc w:val="both"/>
        <w:rPr>
          <w:b/>
          <w:bCs/>
          <w:sz w:val="28"/>
          <w:szCs w:val="28"/>
        </w:rPr>
      </w:pPr>
    </w:p>
    <w:p w14:paraId="4C238965" w14:textId="4CE383A2" w:rsidR="00B73D40" w:rsidRPr="00F147F4" w:rsidRDefault="00B73D40" w:rsidP="00B73D40">
      <w:pPr>
        <w:spacing w:line="360" w:lineRule="auto"/>
        <w:jc w:val="both"/>
        <w:rPr>
          <w:b/>
          <w:bCs/>
          <w:sz w:val="28"/>
          <w:szCs w:val="28"/>
        </w:rPr>
      </w:pPr>
      <w:r w:rsidRPr="00F147F4">
        <w:rPr>
          <w:b/>
          <w:bCs/>
          <w:sz w:val="28"/>
          <w:szCs w:val="28"/>
        </w:rPr>
        <w:t>About EDHEC-Risk Institute</w:t>
      </w:r>
    </w:p>
    <w:p w14:paraId="0A5AC2E2" w14:textId="77777777" w:rsidR="00B73D40" w:rsidRPr="00F147F4" w:rsidRDefault="00B73D40" w:rsidP="00B73D40">
      <w:pPr>
        <w:spacing w:line="360" w:lineRule="auto"/>
        <w:jc w:val="both"/>
        <w:rPr>
          <w:b/>
          <w:bCs/>
          <w:sz w:val="22"/>
          <w:szCs w:val="22"/>
        </w:rPr>
      </w:pPr>
      <w:r w:rsidRPr="00F147F4">
        <w:rPr>
          <w:b/>
          <w:bCs/>
          <w:sz w:val="22"/>
          <w:szCs w:val="22"/>
        </w:rPr>
        <w:t>Academic Roots &amp; Practitioner Reach</w:t>
      </w:r>
    </w:p>
    <w:p w14:paraId="45635AB0" w14:textId="77777777" w:rsidR="00B73D40" w:rsidRPr="00F147F4" w:rsidRDefault="00B73D40" w:rsidP="00B73D40">
      <w:pPr>
        <w:spacing w:line="280" w:lineRule="atLeast"/>
        <w:jc w:val="both"/>
        <w:rPr>
          <w:rFonts w:cs="Arial"/>
          <w:sz w:val="22"/>
          <w:szCs w:val="22"/>
        </w:rPr>
      </w:pPr>
      <w:r>
        <w:rPr>
          <w:rFonts w:cs="Arial"/>
          <w:sz w:val="22"/>
          <w:szCs w:val="22"/>
        </w:rPr>
        <w:t>For more than 15 years</w:t>
      </w:r>
      <w:r w:rsidRPr="00F147F4">
        <w:rPr>
          <w:rFonts w:cs="Arial"/>
          <w:sz w:val="22"/>
          <w:szCs w:val="22"/>
        </w:rPr>
        <w:t>, EDHEC Business School has been pursuing an ambitious policy in terms of practically relevant academic research. This policy, known as “Make an Impact”, aims to make EDHEC an academic institution of reference for the industry in a small number of areas in which the school has reached critical mass in terms of expertise and research results. Among these areas, investment management has occupied a privileged position, leading to the creation in 2001 of EDHEC-Risk Institute, which has developed an ambitious portfolio of research and educational initiatives in the domain of investment solutions for institutional and individual investors.</w:t>
      </w:r>
    </w:p>
    <w:p w14:paraId="0F9AE6E9" w14:textId="77777777" w:rsidR="00B73D40" w:rsidRPr="00F147F4" w:rsidRDefault="00B73D40" w:rsidP="00B73D40">
      <w:pPr>
        <w:spacing w:line="280" w:lineRule="atLeast"/>
        <w:jc w:val="both"/>
        <w:rPr>
          <w:rFonts w:cs="Arial"/>
          <w:sz w:val="22"/>
          <w:szCs w:val="22"/>
        </w:rPr>
      </w:pPr>
    </w:p>
    <w:p w14:paraId="44992B5F" w14:textId="77777777" w:rsidR="00B73D40" w:rsidRPr="00F147F4" w:rsidRDefault="00B73D40" w:rsidP="00B73D40">
      <w:pPr>
        <w:jc w:val="both"/>
        <w:rPr>
          <w:snapToGrid w:val="0"/>
          <w:sz w:val="22"/>
          <w:szCs w:val="22"/>
        </w:rPr>
      </w:pPr>
      <w:r w:rsidRPr="00F147F4">
        <w:rPr>
          <w:rFonts w:cs="Arial"/>
          <w:sz w:val="22"/>
          <w:szCs w:val="22"/>
        </w:rPr>
        <w:t xml:space="preserve">This Institute boasts a team of permanent professors, engineers and support staff, and counts a large number of affiliate professors and research associates from the financial industry among its ranks. EDHEC-Risk Institute is located at campuses </w:t>
      </w:r>
      <w:r w:rsidRPr="00F147F4">
        <w:rPr>
          <w:snapToGrid w:val="0"/>
          <w:sz w:val="22"/>
          <w:szCs w:val="22"/>
        </w:rPr>
        <w:t>in the City of London (United Kingdom) and Nice, (France)</w:t>
      </w:r>
      <w:r w:rsidRPr="00F147F4">
        <w:rPr>
          <w:rFonts w:cs="Arial"/>
          <w:sz w:val="22"/>
          <w:szCs w:val="22"/>
        </w:rPr>
        <w:t xml:space="preserve">. </w:t>
      </w:r>
      <w:r w:rsidRPr="00F147F4">
        <w:rPr>
          <w:snapToGrid w:val="0"/>
          <w:sz w:val="22"/>
          <w:szCs w:val="22"/>
        </w:rPr>
        <w:t>The philosophy of the Institute is to validate its work by publication in international academic journals, as well as to make it available to the sector through its position papers, published studies and global conferences.</w:t>
      </w:r>
    </w:p>
    <w:p w14:paraId="4321B43A" w14:textId="77777777" w:rsidR="00B73D40" w:rsidRPr="00F147F4" w:rsidRDefault="00B73D40" w:rsidP="00B73D40">
      <w:pPr>
        <w:spacing w:line="280" w:lineRule="atLeast"/>
        <w:jc w:val="both"/>
        <w:rPr>
          <w:rFonts w:cs="Arial"/>
          <w:sz w:val="22"/>
          <w:szCs w:val="22"/>
        </w:rPr>
      </w:pPr>
    </w:p>
    <w:p w14:paraId="7F0BF14E" w14:textId="77777777" w:rsidR="00B73D40" w:rsidRPr="00F147F4" w:rsidRDefault="00B73D40" w:rsidP="00B73D40">
      <w:pPr>
        <w:spacing w:line="280" w:lineRule="atLeast"/>
        <w:jc w:val="both"/>
        <w:rPr>
          <w:rFonts w:cs="Arial"/>
          <w:sz w:val="22"/>
          <w:szCs w:val="22"/>
        </w:rPr>
      </w:pPr>
      <w:r w:rsidRPr="00F147F4">
        <w:rPr>
          <w:rFonts w:cs="Arial"/>
          <w:sz w:val="22"/>
          <w:szCs w:val="22"/>
        </w:rPr>
        <w:t xml:space="preserve">To ensure the distribution of its research to the industry, EDHEC-Risk also provides professionals with access to its website, </w:t>
      </w:r>
      <w:hyperlink r:id="rId18" w:history="1">
        <w:r w:rsidRPr="00F147F4">
          <w:rPr>
            <w:rStyle w:val="Lienhypertexte"/>
            <w:sz w:val="22"/>
            <w:szCs w:val="22"/>
          </w:rPr>
          <w:t>https://risk.edhec.edu</w:t>
        </w:r>
      </w:hyperlink>
      <w:r w:rsidRPr="00F147F4">
        <w:rPr>
          <w:rFonts w:cs="Arial"/>
          <w:sz w:val="22"/>
          <w:szCs w:val="22"/>
        </w:rPr>
        <w:t>, devoted to asset and risk management research for the industry, with a focus on investment solutions. Additionally, its quarterly newsletter is distributed to over 150,000 readers.</w:t>
      </w:r>
    </w:p>
    <w:p w14:paraId="08352E2F" w14:textId="2C43BB16" w:rsidR="00B73D40" w:rsidRDefault="00B73D40" w:rsidP="00B73D40">
      <w:pPr>
        <w:spacing w:line="280" w:lineRule="atLeast"/>
        <w:jc w:val="both"/>
        <w:rPr>
          <w:rFonts w:cs="Arial"/>
          <w:sz w:val="22"/>
          <w:szCs w:val="22"/>
        </w:rPr>
      </w:pPr>
    </w:p>
    <w:p w14:paraId="3D6D00FA" w14:textId="77777777" w:rsidR="00CE693E" w:rsidRPr="00F147F4" w:rsidRDefault="00CE693E" w:rsidP="00B73D40">
      <w:pPr>
        <w:spacing w:line="280" w:lineRule="atLeast"/>
        <w:jc w:val="both"/>
        <w:rPr>
          <w:rFonts w:cs="Arial"/>
          <w:sz w:val="22"/>
          <w:szCs w:val="22"/>
        </w:rPr>
      </w:pPr>
    </w:p>
    <w:p w14:paraId="7B396377" w14:textId="77777777" w:rsidR="00B73D40" w:rsidRPr="00F147F4" w:rsidRDefault="00B73D40" w:rsidP="00B73D40">
      <w:pPr>
        <w:autoSpaceDE w:val="0"/>
        <w:autoSpaceDN w:val="0"/>
        <w:jc w:val="both"/>
        <w:rPr>
          <w:snapToGrid w:val="0"/>
          <w:sz w:val="22"/>
          <w:szCs w:val="22"/>
        </w:rPr>
      </w:pPr>
      <w:r w:rsidRPr="00F147F4">
        <w:rPr>
          <w:snapToGrid w:val="0"/>
          <w:sz w:val="22"/>
          <w:szCs w:val="22"/>
        </w:rPr>
        <w:lastRenderedPageBreak/>
        <w:t>In addition to the EDHEC Alternative Indexes, which are used as performance benchmarks for risk analysis by investors in hedge funds, and the EDHEC-IEIF Monthly Commercial Property index, which tracks the performance of the French commercial property market through SCPIs, EDHEC-Risk has recently launched a series of new initiatives.</w:t>
      </w:r>
    </w:p>
    <w:p w14:paraId="63A9B461" w14:textId="77777777" w:rsidR="00B73D40" w:rsidRPr="007E16E1" w:rsidRDefault="00B73D40" w:rsidP="00B73D40">
      <w:pPr>
        <w:pStyle w:val="Paragraphedeliste"/>
        <w:numPr>
          <w:ilvl w:val="0"/>
          <w:numId w:val="18"/>
        </w:numPr>
        <w:tabs>
          <w:tab w:val="clear" w:pos="709"/>
        </w:tabs>
        <w:autoSpaceDE w:val="0"/>
        <w:autoSpaceDN w:val="0"/>
        <w:spacing w:after="0" w:line="240" w:lineRule="auto"/>
        <w:contextualSpacing w:val="0"/>
        <w:rPr>
          <w:rFonts w:ascii="Times New Roman" w:hAnsi="Times New Roman" w:cs="Times New Roman"/>
          <w:snapToGrid w:val="0"/>
        </w:rPr>
      </w:pPr>
      <w:r w:rsidRPr="007E16E1">
        <w:rPr>
          <w:rFonts w:ascii="Times New Roman" w:hAnsi="Times New Roman" w:cs="Times New Roman"/>
          <w:snapToGrid w:val="0"/>
        </w:rPr>
        <w:t xml:space="preserve">The </w:t>
      </w:r>
      <w:hyperlink r:id="rId19" w:anchor="tab_372" w:history="1">
        <w:r w:rsidRPr="007E16E1">
          <w:rPr>
            <w:rStyle w:val="Lienhypertexte"/>
            <w:rFonts w:ascii="Times New Roman" w:hAnsi="Times New Roman" w:cs="Times New Roman"/>
            <w:snapToGrid w:val="0"/>
          </w:rPr>
          <w:t>EDHEC-Princeton Retirement Goal-Based Investing Index Series</w:t>
        </w:r>
      </w:hyperlink>
      <w:r w:rsidRPr="007E16E1">
        <w:rPr>
          <w:rFonts w:ascii="Times New Roman" w:hAnsi="Times New Roman" w:cs="Times New Roman"/>
          <w:snapToGrid w:val="0"/>
        </w:rPr>
        <w:t xml:space="preserve">, launched in May 2018, which represent asset allocation benchmarks for innovative mass-customised target date solutions for individuals preparing for retirement; </w:t>
      </w:r>
    </w:p>
    <w:p w14:paraId="0079D9AA" w14:textId="77777777" w:rsidR="00B73D40" w:rsidRPr="007E16E1" w:rsidRDefault="00B73D40" w:rsidP="00B73D40">
      <w:pPr>
        <w:pStyle w:val="Paragraphedeliste"/>
        <w:numPr>
          <w:ilvl w:val="0"/>
          <w:numId w:val="18"/>
        </w:numPr>
        <w:tabs>
          <w:tab w:val="clear" w:pos="709"/>
        </w:tabs>
        <w:autoSpaceDE w:val="0"/>
        <w:autoSpaceDN w:val="0"/>
        <w:spacing w:after="0" w:line="240" w:lineRule="auto"/>
        <w:contextualSpacing w:val="0"/>
        <w:rPr>
          <w:rFonts w:ascii="Times New Roman" w:hAnsi="Times New Roman" w:cs="Times New Roman"/>
          <w:snapToGrid w:val="0"/>
        </w:rPr>
      </w:pPr>
      <w:r w:rsidRPr="007E16E1">
        <w:rPr>
          <w:rFonts w:ascii="Times New Roman" w:hAnsi="Times New Roman" w:cs="Times New Roman"/>
          <w:snapToGrid w:val="0"/>
        </w:rPr>
        <w:t xml:space="preserve">The </w:t>
      </w:r>
      <w:hyperlink r:id="rId20" w:history="1">
        <w:r w:rsidRPr="007E16E1">
          <w:rPr>
            <w:rStyle w:val="Lienhypertexte"/>
            <w:rFonts w:ascii="Times New Roman" w:hAnsi="Times New Roman" w:cs="Times New Roman"/>
            <w:snapToGrid w:val="0"/>
          </w:rPr>
          <w:t>EDHEC Bond Risk Premium Monitor</w:t>
        </w:r>
      </w:hyperlink>
      <w:r w:rsidRPr="007E16E1">
        <w:rPr>
          <w:rFonts w:ascii="Times New Roman" w:hAnsi="Times New Roman" w:cs="Times New Roman"/>
          <w:snapToGrid w:val="0"/>
        </w:rPr>
        <w:t>, the purpose of which is to offer to investment and academic communities a tool to quantify and analyse the risk premium associated with Government bonds;</w:t>
      </w:r>
    </w:p>
    <w:p w14:paraId="5D9FFBDD" w14:textId="77777777" w:rsidR="00B73D40" w:rsidRPr="007E16E1" w:rsidRDefault="00B73D40" w:rsidP="00B73D40">
      <w:pPr>
        <w:pStyle w:val="Paragraphedeliste"/>
        <w:numPr>
          <w:ilvl w:val="0"/>
          <w:numId w:val="18"/>
        </w:numPr>
        <w:tabs>
          <w:tab w:val="clear" w:pos="709"/>
        </w:tabs>
        <w:autoSpaceDE w:val="0"/>
        <w:autoSpaceDN w:val="0"/>
        <w:spacing w:after="0" w:line="240" w:lineRule="auto"/>
        <w:contextualSpacing w:val="0"/>
        <w:rPr>
          <w:rFonts w:ascii="Times New Roman" w:hAnsi="Times New Roman" w:cs="Times New Roman"/>
          <w:snapToGrid w:val="0"/>
        </w:rPr>
      </w:pPr>
      <w:r w:rsidRPr="007E16E1">
        <w:rPr>
          <w:rFonts w:ascii="Times New Roman" w:hAnsi="Times New Roman" w:cs="Times New Roman"/>
          <w:snapToGrid w:val="0"/>
        </w:rPr>
        <w:t xml:space="preserve">The </w:t>
      </w:r>
      <w:hyperlink r:id="rId21" w:history="1">
        <w:r w:rsidRPr="007E16E1">
          <w:rPr>
            <w:rStyle w:val="Lienhypertexte"/>
            <w:rFonts w:ascii="Times New Roman" w:hAnsi="Times New Roman" w:cs="Times New Roman"/>
            <w:snapToGrid w:val="0"/>
          </w:rPr>
          <w:t>EDHEC-Risk Investment Solutions (Serious) Game</w:t>
        </w:r>
      </w:hyperlink>
      <w:r w:rsidRPr="007E16E1">
        <w:rPr>
          <w:rFonts w:ascii="Times New Roman" w:hAnsi="Times New Roman" w:cs="Times New Roman"/>
          <w:snapToGrid w:val="0"/>
        </w:rPr>
        <w:t>, which is meant to facilitate engagement with graduate students or investment professionals enrolled on one of EDHEC-Risk’s various campus-based, blended or fully-digital educational programmes.</w:t>
      </w:r>
    </w:p>
    <w:p w14:paraId="5D8E3476" w14:textId="77777777" w:rsidR="00B73D40" w:rsidRPr="007E16E1" w:rsidRDefault="00B73D40" w:rsidP="00B73D40">
      <w:pPr>
        <w:spacing w:line="280" w:lineRule="atLeast"/>
        <w:jc w:val="both"/>
        <w:rPr>
          <w:sz w:val="22"/>
          <w:szCs w:val="22"/>
        </w:rPr>
      </w:pPr>
    </w:p>
    <w:p w14:paraId="337F7CBE" w14:textId="77777777" w:rsidR="00B73D40" w:rsidRPr="00F147F4" w:rsidRDefault="00B73D40" w:rsidP="00B73D40">
      <w:pPr>
        <w:spacing w:line="280" w:lineRule="atLeast"/>
        <w:jc w:val="both"/>
        <w:rPr>
          <w:rFonts w:cs="Arial"/>
          <w:sz w:val="22"/>
          <w:szCs w:val="22"/>
        </w:rPr>
      </w:pPr>
      <w:r w:rsidRPr="007E16E1">
        <w:rPr>
          <w:sz w:val="22"/>
          <w:szCs w:val="22"/>
        </w:rPr>
        <w:t>EDHEC-Risk Institute also has highly significant executive education activities for professionals, in</w:t>
      </w:r>
      <w:r w:rsidRPr="00F147F4">
        <w:rPr>
          <w:rFonts w:cs="Arial"/>
          <w:sz w:val="22"/>
          <w:szCs w:val="22"/>
        </w:rPr>
        <w:t xml:space="preserve"> partnership with prestigious academic partners.</w:t>
      </w:r>
    </w:p>
    <w:p w14:paraId="3CE151C0" w14:textId="77777777" w:rsidR="00B73D40" w:rsidRPr="00F147F4" w:rsidRDefault="00B73D40" w:rsidP="00B73D40">
      <w:pPr>
        <w:spacing w:line="280" w:lineRule="atLeast"/>
        <w:jc w:val="both"/>
        <w:rPr>
          <w:rFonts w:cs="Arial"/>
          <w:sz w:val="22"/>
          <w:szCs w:val="22"/>
        </w:rPr>
      </w:pPr>
    </w:p>
    <w:p w14:paraId="2B0A0C97" w14:textId="77777777" w:rsidR="00B73D40" w:rsidRPr="00F147F4" w:rsidRDefault="00B73D40" w:rsidP="00B73D40">
      <w:pPr>
        <w:jc w:val="both"/>
        <w:rPr>
          <w:sz w:val="22"/>
          <w:szCs w:val="22"/>
        </w:rPr>
      </w:pPr>
      <w:r w:rsidRPr="00F147F4">
        <w:rPr>
          <w:sz w:val="22"/>
          <w:szCs w:val="22"/>
        </w:rPr>
        <w:t xml:space="preserve">In 2012, EDHEC-Risk Institute signed two strategic partnership agreements. The first was with the Operations Research and Financial Engineering department of Princeton University to set up a joint research programme in the area of investment solutions for institutions and individuals. The second was with Yale School of Management to set up joint certified executive training courses in North America and Europe in the area of risk and investment management. </w:t>
      </w:r>
    </w:p>
    <w:p w14:paraId="3B91CE87" w14:textId="77777777" w:rsidR="00B73D40" w:rsidRPr="00F147F4" w:rsidRDefault="00B73D40" w:rsidP="00B73D40">
      <w:pPr>
        <w:jc w:val="both"/>
        <w:rPr>
          <w:sz w:val="22"/>
          <w:szCs w:val="22"/>
        </w:rPr>
      </w:pPr>
    </w:p>
    <w:p w14:paraId="63ACEA6E" w14:textId="77777777" w:rsidR="00B73D40" w:rsidRPr="00F147F4" w:rsidRDefault="00B73D40" w:rsidP="00B73D40">
      <w:pPr>
        <w:jc w:val="both"/>
        <w:rPr>
          <w:sz w:val="22"/>
          <w:szCs w:val="22"/>
        </w:rPr>
      </w:pPr>
      <w:r w:rsidRPr="00F147F4">
        <w:rPr>
          <w:sz w:val="22"/>
          <w:szCs w:val="22"/>
        </w:rPr>
        <w:t xml:space="preserve">As part of its policy of transferring know-how to the industry, in 2013 EDHEC-Risk Institute also set up ERI Scientific Beta, which is an original initiative that aims to favour the adoption of the latest advances in smart beta design and implementation by the whole investment industry. Its academic origin provides the foundation for its strategy: offer, in the best economic conditions possible, the smart beta solutions that are most proven scientifically with full transparency in both the methods and the associated risks. </w:t>
      </w:r>
    </w:p>
    <w:p w14:paraId="7BAA728C" w14:textId="77777777" w:rsidR="00B73D40" w:rsidRPr="00F147F4" w:rsidRDefault="00B73D40" w:rsidP="00B73D40">
      <w:pPr>
        <w:jc w:val="both"/>
        <w:rPr>
          <w:sz w:val="22"/>
          <w:szCs w:val="22"/>
        </w:rPr>
      </w:pPr>
    </w:p>
    <w:p w14:paraId="54F956F9" w14:textId="77777777" w:rsidR="00B73D40" w:rsidRPr="00F147F4" w:rsidRDefault="00B73D40" w:rsidP="00B73D40">
      <w:pPr>
        <w:jc w:val="both"/>
        <w:rPr>
          <w:sz w:val="22"/>
          <w:szCs w:val="22"/>
        </w:rPr>
      </w:pPr>
      <w:r w:rsidRPr="00F147F4">
        <w:rPr>
          <w:sz w:val="22"/>
          <w:szCs w:val="22"/>
        </w:rPr>
        <w:t>EDHEC-Risk Institute also contributed to the 2016 launch of EDHEC Infrastructure Institute (EDHEC</w:t>
      </w:r>
      <w:r w:rsidRPr="00F147F4">
        <w:rPr>
          <w:i/>
          <w:sz w:val="22"/>
          <w:szCs w:val="22"/>
        </w:rPr>
        <w:t>infra</w:t>
      </w:r>
      <w:r w:rsidRPr="00F147F4">
        <w:rPr>
          <w:sz w:val="22"/>
          <w:szCs w:val="22"/>
        </w:rPr>
        <w:t>), a spin-off dedicated to benchmarking private infrastructure investments. EDHEC</w:t>
      </w:r>
      <w:r w:rsidRPr="00F147F4">
        <w:rPr>
          <w:i/>
          <w:sz w:val="22"/>
          <w:szCs w:val="22"/>
        </w:rPr>
        <w:t>infra</w:t>
      </w:r>
      <w:r w:rsidRPr="00F147F4">
        <w:rPr>
          <w:sz w:val="22"/>
          <w:szCs w:val="22"/>
        </w:rPr>
        <w:t xml:space="preserve"> was created to address the profound knowledge gap faced by infrastructure investors by collecting and standardising private investment and cash flow data and running state-of-the-art asset pricing and risk models to create the performance benchmarks that are needed for asset allocation, prudential regulation and the design of infrastructure investment solutions.</w:t>
      </w:r>
    </w:p>
    <w:p w14:paraId="7C8A80DF" w14:textId="77777777" w:rsidR="00B73D40" w:rsidRPr="00F147F4" w:rsidRDefault="00B73D40" w:rsidP="00B73D40">
      <w:pPr>
        <w:spacing w:line="280" w:lineRule="atLeast"/>
        <w:jc w:val="both"/>
        <w:rPr>
          <w:rFonts w:cs="Arial"/>
          <w:sz w:val="22"/>
          <w:szCs w:val="22"/>
        </w:rPr>
      </w:pPr>
    </w:p>
    <w:p w14:paraId="646C38D5" w14:textId="77777777" w:rsidR="00B73D40" w:rsidRPr="00F147F4" w:rsidRDefault="00B73D40" w:rsidP="00B73D40">
      <w:pPr>
        <w:autoSpaceDE w:val="0"/>
        <w:autoSpaceDN w:val="0"/>
        <w:adjustRightInd w:val="0"/>
        <w:rPr>
          <w:b/>
          <w:bCs/>
          <w:sz w:val="16"/>
          <w:szCs w:val="16"/>
          <w:lang w:eastAsia="zh-CN"/>
        </w:rPr>
      </w:pPr>
      <w:r w:rsidRPr="00F147F4">
        <w:rPr>
          <w:b/>
          <w:bCs/>
          <w:sz w:val="16"/>
          <w:szCs w:val="16"/>
          <w:lang w:eastAsia="zh-CN"/>
        </w:rPr>
        <w:t xml:space="preserve">                     </w:t>
      </w:r>
      <w:r w:rsidRPr="00F147F4">
        <w:rPr>
          <w:b/>
          <w:bCs/>
          <w:sz w:val="16"/>
          <w:szCs w:val="16"/>
          <w:lang w:eastAsia="zh-CN"/>
        </w:rPr>
        <w:tab/>
        <w:t>EDHEC-Risk Institute</w:t>
      </w:r>
      <w:r w:rsidRPr="00F147F4">
        <w:rPr>
          <w:b/>
          <w:bCs/>
          <w:sz w:val="16"/>
          <w:szCs w:val="16"/>
          <w:lang w:eastAsia="zh-CN"/>
        </w:rPr>
        <w:tab/>
      </w:r>
      <w:r w:rsidRPr="00F147F4">
        <w:rPr>
          <w:b/>
          <w:bCs/>
          <w:sz w:val="16"/>
          <w:szCs w:val="16"/>
          <w:lang w:eastAsia="zh-CN"/>
        </w:rPr>
        <w:tab/>
      </w:r>
      <w:r w:rsidRPr="00F147F4">
        <w:rPr>
          <w:b/>
          <w:bCs/>
          <w:sz w:val="16"/>
          <w:szCs w:val="16"/>
          <w:lang w:eastAsia="zh-CN"/>
        </w:rPr>
        <w:tab/>
      </w:r>
      <w:r w:rsidRPr="00F147F4">
        <w:rPr>
          <w:b/>
          <w:bCs/>
          <w:sz w:val="16"/>
          <w:szCs w:val="16"/>
          <w:lang w:eastAsia="zh-CN"/>
        </w:rPr>
        <w:tab/>
      </w:r>
      <w:r w:rsidRPr="00F147F4">
        <w:rPr>
          <w:b/>
          <w:bCs/>
          <w:sz w:val="16"/>
          <w:szCs w:val="16"/>
          <w:lang w:eastAsia="zh-CN"/>
        </w:rPr>
        <w:tab/>
        <w:t>EDHEC Risk Institute—Europe</w:t>
      </w:r>
    </w:p>
    <w:p w14:paraId="26CD2756" w14:textId="77777777" w:rsidR="00B73D40" w:rsidRPr="00B32671" w:rsidRDefault="00B73D40" w:rsidP="00B73D40">
      <w:pPr>
        <w:autoSpaceDE w:val="0"/>
        <w:autoSpaceDN w:val="0"/>
        <w:adjustRightInd w:val="0"/>
        <w:ind w:left="708" w:firstLine="708"/>
        <w:rPr>
          <w:sz w:val="16"/>
          <w:szCs w:val="16"/>
          <w:lang w:val="fr-FR" w:eastAsia="zh-CN"/>
        </w:rPr>
      </w:pPr>
      <w:r w:rsidRPr="00B32671">
        <w:rPr>
          <w:sz w:val="16"/>
          <w:szCs w:val="16"/>
          <w:lang w:val="fr-FR" w:eastAsia="zh-CN"/>
        </w:rPr>
        <w:t>393 promenade des Anglais</w:t>
      </w:r>
      <w:r w:rsidRPr="00B32671">
        <w:rPr>
          <w:sz w:val="16"/>
          <w:szCs w:val="16"/>
          <w:lang w:val="fr-FR" w:eastAsia="zh-CN"/>
        </w:rPr>
        <w:tab/>
      </w:r>
      <w:r w:rsidRPr="00B32671">
        <w:rPr>
          <w:sz w:val="16"/>
          <w:szCs w:val="16"/>
          <w:lang w:val="fr-FR" w:eastAsia="zh-CN"/>
        </w:rPr>
        <w:tab/>
      </w:r>
      <w:r w:rsidRPr="00B32671">
        <w:rPr>
          <w:sz w:val="16"/>
          <w:szCs w:val="16"/>
          <w:lang w:val="fr-FR" w:eastAsia="zh-CN"/>
        </w:rPr>
        <w:tab/>
      </w:r>
      <w:r w:rsidRPr="00B32671">
        <w:rPr>
          <w:sz w:val="16"/>
          <w:szCs w:val="16"/>
          <w:lang w:val="fr-FR" w:eastAsia="zh-CN"/>
        </w:rPr>
        <w:tab/>
      </w:r>
      <w:r w:rsidRPr="00B32671">
        <w:rPr>
          <w:sz w:val="16"/>
          <w:szCs w:val="16"/>
          <w:lang w:val="fr-FR" w:eastAsia="zh-CN"/>
        </w:rPr>
        <w:tab/>
        <w:t>10 Fleet Place, Ludgate</w:t>
      </w:r>
    </w:p>
    <w:p w14:paraId="276ACD8F" w14:textId="77777777" w:rsidR="00B73D40" w:rsidRPr="00F147F4" w:rsidRDefault="00B73D40" w:rsidP="00B73D40">
      <w:pPr>
        <w:autoSpaceDE w:val="0"/>
        <w:autoSpaceDN w:val="0"/>
        <w:adjustRightInd w:val="0"/>
        <w:ind w:left="708" w:firstLine="708"/>
        <w:rPr>
          <w:sz w:val="16"/>
          <w:szCs w:val="16"/>
          <w:lang w:eastAsia="zh-CN"/>
        </w:rPr>
      </w:pPr>
      <w:r w:rsidRPr="00F147F4">
        <w:rPr>
          <w:sz w:val="16"/>
          <w:szCs w:val="16"/>
          <w:lang w:eastAsia="zh-CN"/>
        </w:rPr>
        <w:t>BP 3116 - 06202 Nice Cedex 3</w:t>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t>London EC4M 7RB</w:t>
      </w:r>
      <w:r w:rsidRPr="00F147F4">
        <w:rPr>
          <w:sz w:val="16"/>
          <w:szCs w:val="16"/>
          <w:lang w:eastAsia="zh-CN"/>
        </w:rPr>
        <w:tab/>
      </w:r>
      <w:r w:rsidRPr="00F147F4">
        <w:rPr>
          <w:sz w:val="16"/>
          <w:szCs w:val="16"/>
          <w:lang w:eastAsia="zh-CN"/>
        </w:rPr>
        <w:tab/>
      </w:r>
    </w:p>
    <w:p w14:paraId="475CAD15" w14:textId="77777777" w:rsidR="00B73D40" w:rsidRPr="00F147F4" w:rsidRDefault="00B73D40" w:rsidP="00B73D40">
      <w:pPr>
        <w:autoSpaceDE w:val="0"/>
        <w:autoSpaceDN w:val="0"/>
        <w:adjustRightInd w:val="0"/>
        <w:ind w:left="708" w:firstLine="708"/>
        <w:rPr>
          <w:sz w:val="16"/>
          <w:szCs w:val="16"/>
          <w:lang w:eastAsia="zh-CN"/>
        </w:rPr>
      </w:pPr>
      <w:r w:rsidRPr="00F147F4">
        <w:rPr>
          <w:sz w:val="16"/>
          <w:szCs w:val="16"/>
          <w:lang w:eastAsia="zh-CN"/>
        </w:rPr>
        <w:t>France</w:t>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t>United Kingdom</w:t>
      </w:r>
      <w:r w:rsidRPr="00F147F4">
        <w:rPr>
          <w:sz w:val="16"/>
          <w:szCs w:val="16"/>
          <w:lang w:eastAsia="zh-CN"/>
        </w:rPr>
        <w:tab/>
      </w:r>
      <w:r w:rsidRPr="00F147F4">
        <w:rPr>
          <w:sz w:val="16"/>
          <w:szCs w:val="16"/>
          <w:lang w:eastAsia="zh-CN"/>
        </w:rPr>
        <w:tab/>
      </w:r>
    </w:p>
    <w:p w14:paraId="4968D911" w14:textId="77777777" w:rsidR="00B73D40" w:rsidRPr="00F147F4" w:rsidRDefault="00B73D40" w:rsidP="00B73D40">
      <w:pPr>
        <w:autoSpaceDE w:val="0"/>
        <w:autoSpaceDN w:val="0"/>
        <w:adjustRightInd w:val="0"/>
        <w:ind w:left="708" w:firstLine="708"/>
        <w:rPr>
          <w:sz w:val="16"/>
          <w:szCs w:val="16"/>
          <w:lang w:eastAsia="zh-CN"/>
        </w:rPr>
      </w:pPr>
      <w:r w:rsidRPr="00F147F4">
        <w:rPr>
          <w:sz w:val="16"/>
          <w:szCs w:val="16"/>
          <w:lang w:eastAsia="zh-CN"/>
        </w:rPr>
        <w:t>Tel: +33 493 187 887</w:t>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r>
      <w:r w:rsidRPr="00F147F4">
        <w:rPr>
          <w:sz w:val="16"/>
          <w:szCs w:val="16"/>
          <w:lang w:eastAsia="zh-CN"/>
        </w:rPr>
        <w:tab/>
        <w:t>Tel: + 44 207 332 5600</w:t>
      </w:r>
      <w:r w:rsidRPr="00F147F4">
        <w:rPr>
          <w:sz w:val="16"/>
          <w:szCs w:val="16"/>
          <w:lang w:eastAsia="zh-CN"/>
        </w:rPr>
        <w:tab/>
      </w:r>
    </w:p>
    <w:p w14:paraId="565C443B" w14:textId="77777777" w:rsidR="00B73D40" w:rsidRPr="00F147F4" w:rsidRDefault="00B73D40" w:rsidP="00B73D40">
      <w:pPr>
        <w:autoSpaceDE w:val="0"/>
        <w:autoSpaceDN w:val="0"/>
        <w:adjustRightInd w:val="0"/>
        <w:ind w:left="708" w:firstLine="708"/>
        <w:rPr>
          <w:sz w:val="16"/>
          <w:szCs w:val="16"/>
          <w:lang w:eastAsia="zh-CN"/>
        </w:rPr>
      </w:pPr>
      <w:r w:rsidRPr="00F147F4">
        <w:rPr>
          <w:sz w:val="16"/>
          <w:szCs w:val="16"/>
          <w:lang w:eastAsia="zh-CN"/>
        </w:rPr>
        <w:tab/>
      </w:r>
    </w:p>
    <w:p w14:paraId="75ADBA84" w14:textId="77777777" w:rsidR="00C93AE1" w:rsidRDefault="00C93AE1" w:rsidP="004A4B81">
      <w:pPr>
        <w:autoSpaceDE w:val="0"/>
        <w:autoSpaceDN w:val="0"/>
        <w:adjustRightInd w:val="0"/>
        <w:ind w:firstLine="708"/>
        <w:jc w:val="center"/>
        <w:rPr>
          <w:rStyle w:val="Lienhypertexte"/>
        </w:rPr>
      </w:pPr>
    </w:p>
    <w:p w14:paraId="2F26935A" w14:textId="09723005" w:rsidR="00213930" w:rsidRPr="00367E63" w:rsidRDefault="00C93AE1" w:rsidP="00213930">
      <w:pPr>
        <w:rPr>
          <w:color w:val="000000"/>
          <w:sz w:val="27"/>
          <w:szCs w:val="27"/>
          <w:lang w:eastAsia="en-GB"/>
        </w:rPr>
      </w:pPr>
      <w:r>
        <w:rPr>
          <w:b/>
          <w:bCs/>
          <w:sz w:val="28"/>
          <w:szCs w:val="28"/>
        </w:rPr>
        <w:t>A</w:t>
      </w:r>
      <w:r w:rsidR="00213930" w:rsidRPr="00367E63">
        <w:rPr>
          <w:b/>
          <w:bCs/>
          <w:sz w:val="28"/>
          <w:szCs w:val="28"/>
        </w:rPr>
        <w:t>bout Amundi ETF, Indexing and Smart Beta</w:t>
      </w:r>
    </w:p>
    <w:p w14:paraId="75EFAD59" w14:textId="77777777" w:rsidR="00213930" w:rsidRPr="00367E63" w:rsidRDefault="00213930" w:rsidP="00213930">
      <w:pPr>
        <w:rPr>
          <w:color w:val="000000"/>
          <w:sz w:val="27"/>
          <w:szCs w:val="27"/>
          <w:lang w:eastAsia="en-GB"/>
        </w:rPr>
      </w:pPr>
      <w:r w:rsidRPr="00367E63">
        <w:rPr>
          <w:rFonts w:ascii="Arial" w:hAnsi="Arial" w:cs="Arial"/>
          <w:color w:val="000000"/>
          <w:sz w:val="27"/>
          <w:szCs w:val="27"/>
          <w:lang w:eastAsia="en-GB"/>
        </w:rPr>
        <w:t> </w:t>
      </w:r>
    </w:p>
    <w:p w14:paraId="3B347A1D" w14:textId="4CBFF405" w:rsidR="00435380" w:rsidRPr="00435380" w:rsidRDefault="00435380" w:rsidP="00435380">
      <w:pPr>
        <w:jc w:val="both"/>
        <w:rPr>
          <w:sz w:val="22"/>
          <w:szCs w:val="22"/>
          <w:lang w:val="en-US"/>
        </w:rPr>
      </w:pPr>
      <w:r w:rsidRPr="00435380">
        <w:rPr>
          <w:sz w:val="22"/>
          <w:szCs w:val="22"/>
          <w:lang w:val="en-US"/>
        </w:rPr>
        <w:t>With more than €112 billion</w:t>
      </w:r>
      <w:r w:rsidRPr="0090775E">
        <w:rPr>
          <w:sz w:val="22"/>
          <w:szCs w:val="22"/>
          <w:vertAlign w:val="superscript"/>
          <w:lang w:val="en-US"/>
        </w:rPr>
        <w:t>1</w:t>
      </w:r>
      <w:r w:rsidRPr="00435380">
        <w:rPr>
          <w:sz w:val="22"/>
          <w:szCs w:val="22"/>
          <w:lang w:val="en-US"/>
        </w:rPr>
        <w:t xml:space="preserve"> in assets under management, Amundi ETF, Indexing and Smart Beta is one of Amundi’s strategic business areas and is a key growth driver for the Group.</w:t>
      </w:r>
    </w:p>
    <w:p w14:paraId="3C123F4F" w14:textId="017CD731" w:rsidR="00435380" w:rsidRPr="00435380" w:rsidRDefault="00435380" w:rsidP="00435380">
      <w:pPr>
        <w:jc w:val="both"/>
        <w:rPr>
          <w:sz w:val="22"/>
          <w:szCs w:val="22"/>
          <w:lang w:val="en-US"/>
        </w:rPr>
      </w:pPr>
      <w:r w:rsidRPr="00435380">
        <w:rPr>
          <w:sz w:val="22"/>
          <w:szCs w:val="22"/>
          <w:lang w:val="en-US"/>
        </w:rPr>
        <w:t xml:space="preserve">Amundi ETF, Indexing and Smart Beta business line provides investors </w:t>
      </w:r>
      <w:r w:rsidR="00731C32">
        <w:rPr>
          <w:sz w:val="22"/>
          <w:szCs w:val="22"/>
          <w:lang w:val="en-US"/>
        </w:rPr>
        <w:t>–</w:t>
      </w:r>
      <w:r w:rsidRPr="00435380">
        <w:rPr>
          <w:sz w:val="22"/>
          <w:szCs w:val="22"/>
          <w:lang w:val="en-US"/>
        </w:rPr>
        <w:t xml:space="preserve"> whether institutionals or distributors </w:t>
      </w:r>
      <w:r w:rsidR="00731C32">
        <w:rPr>
          <w:sz w:val="22"/>
          <w:szCs w:val="22"/>
          <w:lang w:val="en-US"/>
        </w:rPr>
        <w:t>–</w:t>
      </w:r>
      <w:r w:rsidRPr="00435380">
        <w:rPr>
          <w:sz w:val="22"/>
          <w:szCs w:val="22"/>
          <w:lang w:val="en-US"/>
        </w:rPr>
        <w:t xml:space="preserve"> with robust, innovative, and cost-efficient solutions, leveraging Amundi Group’s scale and large resources. The platform also offers investors fully customized solutions (ESG, Low Carbon, specific exclusions, risk constraints, etc.). </w:t>
      </w:r>
    </w:p>
    <w:p w14:paraId="573BF021" w14:textId="77777777" w:rsidR="00435380" w:rsidRDefault="00435380" w:rsidP="00435380">
      <w:pPr>
        <w:jc w:val="both"/>
        <w:rPr>
          <w:sz w:val="22"/>
          <w:szCs w:val="22"/>
          <w:lang w:val="en-US"/>
        </w:rPr>
      </w:pPr>
      <w:r w:rsidRPr="00435380">
        <w:rPr>
          <w:sz w:val="22"/>
          <w:szCs w:val="22"/>
          <w:lang w:val="en-US"/>
        </w:rPr>
        <w:t>With over 30 years of benchmark construction and replication expertise, Amundi is a trusted name in ETF &amp; Index management among the world’s largest institutions. The team is also recognized for its ability to develop Smart Beta &amp; Factor Investing solutions, with more than 10-year track-record.</w:t>
      </w:r>
    </w:p>
    <w:p w14:paraId="2E7A1798" w14:textId="7CA8DC3F" w:rsidR="00435380" w:rsidRPr="0090775E" w:rsidRDefault="00435380" w:rsidP="00CE693E">
      <w:pPr>
        <w:autoSpaceDE w:val="0"/>
        <w:autoSpaceDN w:val="0"/>
        <w:spacing w:before="40" w:after="40" w:line="240" w:lineRule="atLeast"/>
        <w:jc w:val="both"/>
        <w:rPr>
          <w:i/>
          <w:sz w:val="22"/>
          <w:szCs w:val="22"/>
          <w:lang w:val="en-US"/>
        </w:rPr>
      </w:pPr>
      <w:r w:rsidRPr="0090775E">
        <w:rPr>
          <w:i/>
          <w:sz w:val="18"/>
          <w:szCs w:val="16"/>
          <w:lang w:val="en-US"/>
        </w:rPr>
        <w:t>1- All figures and data are provided by Amundi ETF, Indexing &amp; Smart Beta at end March 2019</w:t>
      </w:r>
    </w:p>
    <w:p w14:paraId="70C746C5" w14:textId="77777777" w:rsidR="00213930" w:rsidRDefault="00213930" w:rsidP="00213930"/>
    <w:p w14:paraId="2EF3AE15" w14:textId="77777777" w:rsidR="00213930" w:rsidRPr="00367E63" w:rsidRDefault="001806C5" w:rsidP="00455B88">
      <w:pPr>
        <w:spacing w:before="240" w:after="120"/>
        <w:jc w:val="center"/>
        <w:rPr>
          <w:b/>
          <w:bCs/>
          <w:sz w:val="28"/>
          <w:szCs w:val="28"/>
        </w:rPr>
      </w:pPr>
      <w:hyperlink r:id="rId22" w:history="1">
        <w:r w:rsidR="00213930" w:rsidRPr="00367E63">
          <w:rPr>
            <w:rStyle w:val="Lienhypertexte"/>
            <w:sz w:val="22"/>
            <w:szCs w:val="22"/>
          </w:rPr>
          <w:t>www.amundi.com</w:t>
        </w:r>
      </w:hyperlink>
    </w:p>
    <w:sectPr w:rsidR="00213930" w:rsidRPr="00367E63" w:rsidSect="00FD7765">
      <w:pgSz w:w="11906" w:h="16838"/>
      <w:pgMar w:top="851" w:right="1417" w:bottom="851" w:left="141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694EE" w14:textId="77777777" w:rsidR="00FE49F6" w:rsidRDefault="00FE49F6">
      <w:r>
        <w:separator/>
      </w:r>
    </w:p>
  </w:endnote>
  <w:endnote w:type="continuationSeparator" w:id="0">
    <w:p w14:paraId="301F16BB" w14:textId="77777777" w:rsidR="00FE49F6" w:rsidRDefault="00FE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T">
    <w:altName w:val="Lucida Sans Unico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EBFFE" w14:textId="77777777" w:rsidR="00FE49F6" w:rsidRDefault="00FE49F6">
      <w:r>
        <w:separator/>
      </w:r>
    </w:p>
  </w:footnote>
  <w:footnote w:type="continuationSeparator" w:id="0">
    <w:p w14:paraId="16FA17C6" w14:textId="77777777" w:rsidR="00FE49F6" w:rsidRDefault="00FE4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2148"/>
    <w:multiLevelType w:val="multilevel"/>
    <w:tmpl w:val="E8FA3E7C"/>
    <w:lvl w:ilvl="0">
      <w:start w:val="1"/>
      <w:numFmt w:val="bullet"/>
      <w:lvlText w:val=""/>
      <w:lvlJc w:val="left"/>
      <w:pPr>
        <w:tabs>
          <w:tab w:val="num" w:pos="510"/>
        </w:tabs>
        <w:ind w:left="510" w:hanging="226"/>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2136CE3"/>
    <w:multiLevelType w:val="hybridMultilevel"/>
    <w:tmpl w:val="0B36517E"/>
    <w:lvl w:ilvl="0" w:tplc="28C45BC0">
      <w:start w:val="1"/>
      <w:numFmt w:val="bullet"/>
      <w:lvlText w:val=""/>
      <w:lvlJc w:val="left"/>
      <w:pPr>
        <w:tabs>
          <w:tab w:val="num" w:pos="510"/>
        </w:tabs>
        <w:ind w:left="510" w:hanging="226"/>
      </w:pPr>
      <w:rPr>
        <w:rFonts w:ascii="Symbol" w:hAnsi="Symbol" w:hint="default"/>
        <w:b w:val="0"/>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D1358"/>
    <w:multiLevelType w:val="hybridMultilevel"/>
    <w:tmpl w:val="8FE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82C03"/>
    <w:multiLevelType w:val="hybridMultilevel"/>
    <w:tmpl w:val="45D2F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CC0880"/>
    <w:multiLevelType w:val="hybridMultilevel"/>
    <w:tmpl w:val="794CD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BE70E9"/>
    <w:multiLevelType w:val="hybridMultilevel"/>
    <w:tmpl w:val="C2363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372173"/>
    <w:multiLevelType w:val="hybridMultilevel"/>
    <w:tmpl w:val="6C740B30"/>
    <w:lvl w:ilvl="0" w:tplc="0F463A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01D6A"/>
    <w:multiLevelType w:val="hybridMultilevel"/>
    <w:tmpl w:val="4FA29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7B401D"/>
    <w:multiLevelType w:val="hybridMultilevel"/>
    <w:tmpl w:val="9666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39111D"/>
    <w:multiLevelType w:val="hybridMultilevel"/>
    <w:tmpl w:val="CA501492"/>
    <w:lvl w:ilvl="0" w:tplc="2A5A48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1D4E68"/>
    <w:multiLevelType w:val="hybridMultilevel"/>
    <w:tmpl w:val="476EDE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6F2DF4"/>
    <w:multiLevelType w:val="hybridMultilevel"/>
    <w:tmpl w:val="612C6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C225CFE"/>
    <w:multiLevelType w:val="hybridMultilevel"/>
    <w:tmpl w:val="9578B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921ADB"/>
    <w:multiLevelType w:val="hybridMultilevel"/>
    <w:tmpl w:val="FE46922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97BFD"/>
    <w:multiLevelType w:val="hybridMultilevel"/>
    <w:tmpl w:val="038A1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F341AC5"/>
    <w:multiLevelType w:val="hybridMultilevel"/>
    <w:tmpl w:val="3AA43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A03C3C"/>
    <w:multiLevelType w:val="hybridMultilevel"/>
    <w:tmpl w:val="272C13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607325F"/>
    <w:multiLevelType w:val="hybridMultilevel"/>
    <w:tmpl w:val="2B5CD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D96066"/>
    <w:multiLevelType w:val="hybridMultilevel"/>
    <w:tmpl w:val="DC58B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D442DC"/>
    <w:multiLevelType w:val="hybridMultilevel"/>
    <w:tmpl w:val="656A081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EFD06F7"/>
    <w:multiLevelType w:val="hybridMultilevel"/>
    <w:tmpl w:val="CC2A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5"/>
  </w:num>
  <w:num w:numId="6">
    <w:abstractNumId w:val="9"/>
  </w:num>
  <w:num w:numId="7">
    <w:abstractNumId w:val="22"/>
  </w:num>
  <w:num w:numId="8">
    <w:abstractNumId w:val="10"/>
  </w:num>
  <w:num w:numId="9">
    <w:abstractNumId w:val="8"/>
  </w:num>
  <w:num w:numId="10">
    <w:abstractNumId w:val="2"/>
  </w:num>
  <w:num w:numId="11">
    <w:abstractNumId w:val="16"/>
  </w:num>
  <w:num w:numId="12">
    <w:abstractNumId w:val="17"/>
  </w:num>
  <w:num w:numId="13">
    <w:abstractNumId w:val="20"/>
  </w:num>
  <w:num w:numId="14">
    <w:abstractNumId w:val="14"/>
  </w:num>
  <w:num w:numId="15">
    <w:abstractNumId w:val="18"/>
  </w:num>
  <w:num w:numId="16">
    <w:abstractNumId w:val="11"/>
  </w:num>
  <w:num w:numId="17">
    <w:abstractNumId w:val="21"/>
  </w:num>
  <w:num w:numId="18">
    <w:abstractNumId w:val="13"/>
  </w:num>
  <w:num w:numId="19">
    <w:abstractNumId w:val="5"/>
  </w:num>
  <w:num w:numId="20">
    <w:abstractNumId w:val="6"/>
  </w:num>
  <w:num w:numId="21">
    <w:abstractNumId w:val="19"/>
  </w:num>
  <w:num w:numId="22">
    <w:abstractNumId w:val="4"/>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0"/>
    <w:rsid w:val="0000205D"/>
    <w:rsid w:val="000142CE"/>
    <w:rsid w:val="00023DEF"/>
    <w:rsid w:val="000300CC"/>
    <w:rsid w:val="00031786"/>
    <w:rsid w:val="0003189A"/>
    <w:rsid w:val="00034224"/>
    <w:rsid w:val="00034366"/>
    <w:rsid w:val="00034CB4"/>
    <w:rsid w:val="000357F8"/>
    <w:rsid w:val="0004070F"/>
    <w:rsid w:val="0005390E"/>
    <w:rsid w:val="000751A5"/>
    <w:rsid w:val="00075A5B"/>
    <w:rsid w:val="00075C4A"/>
    <w:rsid w:val="00081376"/>
    <w:rsid w:val="0008374B"/>
    <w:rsid w:val="000867E0"/>
    <w:rsid w:val="00090DA7"/>
    <w:rsid w:val="0009369D"/>
    <w:rsid w:val="0009747F"/>
    <w:rsid w:val="000A0AEE"/>
    <w:rsid w:val="000A4C0A"/>
    <w:rsid w:val="000B3EAD"/>
    <w:rsid w:val="000C390B"/>
    <w:rsid w:val="000C3DBC"/>
    <w:rsid w:val="000C46F8"/>
    <w:rsid w:val="000D3AAA"/>
    <w:rsid w:val="000D5E26"/>
    <w:rsid w:val="000E0EDF"/>
    <w:rsid w:val="000E706B"/>
    <w:rsid w:val="000F1556"/>
    <w:rsid w:val="000F17C1"/>
    <w:rsid w:val="00101690"/>
    <w:rsid w:val="0010231C"/>
    <w:rsid w:val="00102B4A"/>
    <w:rsid w:val="00104363"/>
    <w:rsid w:val="00107976"/>
    <w:rsid w:val="00113480"/>
    <w:rsid w:val="00115871"/>
    <w:rsid w:val="00117F29"/>
    <w:rsid w:val="00121118"/>
    <w:rsid w:val="00124AB8"/>
    <w:rsid w:val="00125A7A"/>
    <w:rsid w:val="00125E83"/>
    <w:rsid w:val="001357C2"/>
    <w:rsid w:val="001372DA"/>
    <w:rsid w:val="00137305"/>
    <w:rsid w:val="00145D45"/>
    <w:rsid w:val="0014634C"/>
    <w:rsid w:val="001532CC"/>
    <w:rsid w:val="00155D22"/>
    <w:rsid w:val="001564BA"/>
    <w:rsid w:val="00157A34"/>
    <w:rsid w:val="001609A7"/>
    <w:rsid w:val="001661F2"/>
    <w:rsid w:val="001704C4"/>
    <w:rsid w:val="00173C06"/>
    <w:rsid w:val="00173E46"/>
    <w:rsid w:val="001806C5"/>
    <w:rsid w:val="00180DB3"/>
    <w:rsid w:val="001837C4"/>
    <w:rsid w:val="001866B0"/>
    <w:rsid w:val="00191026"/>
    <w:rsid w:val="00193146"/>
    <w:rsid w:val="001A2E27"/>
    <w:rsid w:val="001A723F"/>
    <w:rsid w:val="001C1EE8"/>
    <w:rsid w:val="001D4033"/>
    <w:rsid w:val="001D6D13"/>
    <w:rsid w:val="001D7D8B"/>
    <w:rsid w:val="001D7FC9"/>
    <w:rsid w:val="001E1712"/>
    <w:rsid w:val="001F04CF"/>
    <w:rsid w:val="001F0B10"/>
    <w:rsid w:val="001F258A"/>
    <w:rsid w:val="002009F9"/>
    <w:rsid w:val="002017F2"/>
    <w:rsid w:val="00205AF3"/>
    <w:rsid w:val="00206FCA"/>
    <w:rsid w:val="00210474"/>
    <w:rsid w:val="002127BD"/>
    <w:rsid w:val="00213930"/>
    <w:rsid w:val="00215304"/>
    <w:rsid w:val="00215790"/>
    <w:rsid w:val="00233EEB"/>
    <w:rsid w:val="002347F6"/>
    <w:rsid w:val="00244D37"/>
    <w:rsid w:val="00245F77"/>
    <w:rsid w:val="00252F1E"/>
    <w:rsid w:val="002531E2"/>
    <w:rsid w:val="00262300"/>
    <w:rsid w:val="00264B4E"/>
    <w:rsid w:val="002726B2"/>
    <w:rsid w:val="002727EB"/>
    <w:rsid w:val="00273A2B"/>
    <w:rsid w:val="00280304"/>
    <w:rsid w:val="00281809"/>
    <w:rsid w:val="0028334C"/>
    <w:rsid w:val="00290F13"/>
    <w:rsid w:val="00294183"/>
    <w:rsid w:val="002A0140"/>
    <w:rsid w:val="002B7194"/>
    <w:rsid w:val="002C1F95"/>
    <w:rsid w:val="002C2403"/>
    <w:rsid w:val="002C5928"/>
    <w:rsid w:val="002E1030"/>
    <w:rsid w:val="002E4524"/>
    <w:rsid w:val="002E4F78"/>
    <w:rsid w:val="002E6F08"/>
    <w:rsid w:val="002F211C"/>
    <w:rsid w:val="002F45C6"/>
    <w:rsid w:val="002F4C43"/>
    <w:rsid w:val="002F6948"/>
    <w:rsid w:val="002F77B4"/>
    <w:rsid w:val="00306237"/>
    <w:rsid w:val="003163B7"/>
    <w:rsid w:val="00321867"/>
    <w:rsid w:val="00321D53"/>
    <w:rsid w:val="0032664E"/>
    <w:rsid w:val="003269F9"/>
    <w:rsid w:val="00334AD5"/>
    <w:rsid w:val="003475FA"/>
    <w:rsid w:val="003622AD"/>
    <w:rsid w:val="00367E63"/>
    <w:rsid w:val="00370573"/>
    <w:rsid w:val="003736A3"/>
    <w:rsid w:val="00374981"/>
    <w:rsid w:val="00384921"/>
    <w:rsid w:val="003861EE"/>
    <w:rsid w:val="00386F35"/>
    <w:rsid w:val="003939FB"/>
    <w:rsid w:val="00396101"/>
    <w:rsid w:val="003A0275"/>
    <w:rsid w:val="003A3A5B"/>
    <w:rsid w:val="003A3F4B"/>
    <w:rsid w:val="003B0827"/>
    <w:rsid w:val="003B13CC"/>
    <w:rsid w:val="003B3317"/>
    <w:rsid w:val="003C3444"/>
    <w:rsid w:val="003C44AB"/>
    <w:rsid w:val="003C6EA1"/>
    <w:rsid w:val="003D4812"/>
    <w:rsid w:val="003E02F0"/>
    <w:rsid w:val="003E7E9C"/>
    <w:rsid w:val="004040F1"/>
    <w:rsid w:val="004105F1"/>
    <w:rsid w:val="00413D4B"/>
    <w:rsid w:val="004143F7"/>
    <w:rsid w:val="00420378"/>
    <w:rsid w:val="00420874"/>
    <w:rsid w:val="0042230C"/>
    <w:rsid w:val="00433382"/>
    <w:rsid w:val="004343B9"/>
    <w:rsid w:val="00435380"/>
    <w:rsid w:val="00445C91"/>
    <w:rsid w:val="004540A3"/>
    <w:rsid w:val="00455B88"/>
    <w:rsid w:val="004804C5"/>
    <w:rsid w:val="00480E56"/>
    <w:rsid w:val="00481FCD"/>
    <w:rsid w:val="00484DB0"/>
    <w:rsid w:val="00486C35"/>
    <w:rsid w:val="004A4B81"/>
    <w:rsid w:val="004B0EBA"/>
    <w:rsid w:val="004B5E34"/>
    <w:rsid w:val="004C0B9D"/>
    <w:rsid w:val="004C3DC2"/>
    <w:rsid w:val="004D0478"/>
    <w:rsid w:val="004D1406"/>
    <w:rsid w:val="004D7AEF"/>
    <w:rsid w:val="004E2B0F"/>
    <w:rsid w:val="004E6140"/>
    <w:rsid w:val="004F015C"/>
    <w:rsid w:val="004F191F"/>
    <w:rsid w:val="004F7E21"/>
    <w:rsid w:val="00505219"/>
    <w:rsid w:val="005072DD"/>
    <w:rsid w:val="0051202B"/>
    <w:rsid w:val="00516447"/>
    <w:rsid w:val="00516969"/>
    <w:rsid w:val="00520781"/>
    <w:rsid w:val="00521A13"/>
    <w:rsid w:val="00533900"/>
    <w:rsid w:val="00536934"/>
    <w:rsid w:val="00537D6D"/>
    <w:rsid w:val="0054123D"/>
    <w:rsid w:val="00542CFE"/>
    <w:rsid w:val="00543DB4"/>
    <w:rsid w:val="00560A3B"/>
    <w:rsid w:val="0057120C"/>
    <w:rsid w:val="00572CF5"/>
    <w:rsid w:val="00573305"/>
    <w:rsid w:val="00575302"/>
    <w:rsid w:val="0059400D"/>
    <w:rsid w:val="00594602"/>
    <w:rsid w:val="0059691A"/>
    <w:rsid w:val="00597488"/>
    <w:rsid w:val="005A5781"/>
    <w:rsid w:val="005A6B89"/>
    <w:rsid w:val="005A6E35"/>
    <w:rsid w:val="005A74A5"/>
    <w:rsid w:val="005B413D"/>
    <w:rsid w:val="005B704C"/>
    <w:rsid w:val="005C03E7"/>
    <w:rsid w:val="005C0C35"/>
    <w:rsid w:val="005C35B9"/>
    <w:rsid w:val="005C3F17"/>
    <w:rsid w:val="005C432B"/>
    <w:rsid w:val="005C6B2A"/>
    <w:rsid w:val="005C7031"/>
    <w:rsid w:val="005C7F17"/>
    <w:rsid w:val="005D3B19"/>
    <w:rsid w:val="005E34E8"/>
    <w:rsid w:val="005E711B"/>
    <w:rsid w:val="005F0F9E"/>
    <w:rsid w:val="005F3172"/>
    <w:rsid w:val="00602229"/>
    <w:rsid w:val="0060588B"/>
    <w:rsid w:val="0060668E"/>
    <w:rsid w:val="006077E4"/>
    <w:rsid w:val="006214C7"/>
    <w:rsid w:val="006226EC"/>
    <w:rsid w:val="00624090"/>
    <w:rsid w:val="0062435F"/>
    <w:rsid w:val="00631ABF"/>
    <w:rsid w:val="00632401"/>
    <w:rsid w:val="0064260C"/>
    <w:rsid w:val="006428D6"/>
    <w:rsid w:val="00643293"/>
    <w:rsid w:val="006518B8"/>
    <w:rsid w:val="00653257"/>
    <w:rsid w:val="00664106"/>
    <w:rsid w:val="00676578"/>
    <w:rsid w:val="00681F03"/>
    <w:rsid w:val="006852C0"/>
    <w:rsid w:val="00687ED1"/>
    <w:rsid w:val="00693454"/>
    <w:rsid w:val="00696CD9"/>
    <w:rsid w:val="006A387E"/>
    <w:rsid w:val="006A5D54"/>
    <w:rsid w:val="006B11FA"/>
    <w:rsid w:val="006C40EB"/>
    <w:rsid w:val="006C4B58"/>
    <w:rsid w:val="006C5517"/>
    <w:rsid w:val="006D5506"/>
    <w:rsid w:val="006D6CB4"/>
    <w:rsid w:val="006E131C"/>
    <w:rsid w:val="006E40A9"/>
    <w:rsid w:val="006F3473"/>
    <w:rsid w:val="006F556D"/>
    <w:rsid w:val="006F5DD4"/>
    <w:rsid w:val="0070004B"/>
    <w:rsid w:val="007016CB"/>
    <w:rsid w:val="0071093A"/>
    <w:rsid w:val="0071259B"/>
    <w:rsid w:val="00713BB0"/>
    <w:rsid w:val="00722CFD"/>
    <w:rsid w:val="007302BA"/>
    <w:rsid w:val="00731C32"/>
    <w:rsid w:val="0073265D"/>
    <w:rsid w:val="007501BB"/>
    <w:rsid w:val="00752BAD"/>
    <w:rsid w:val="00764161"/>
    <w:rsid w:val="007709A4"/>
    <w:rsid w:val="00772E45"/>
    <w:rsid w:val="00777A0A"/>
    <w:rsid w:val="00784271"/>
    <w:rsid w:val="00791A6F"/>
    <w:rsid w:val="007938F0"/>
    <w:rsid w:val="00793B68"/>
    <w:rsid w:val="007A0008"/>
    <w:rsid w:val="007B007C"/>
    <w:rsid w:val="007B0232"/>
    <w:rsid w:val="007B0994"/>
    <w:rsid w:val="007B2C42"/>
    <w:rsid w:val="007B4229"/>
    <w:rsid w:val="007B5711"/>
    <w:rsid w:val="007B5DCD"/>
    <w:rsid w:val="007C18BD"/>
    <w:rsid w:val="007C59EC"/>
    <w:rsid w:val="007D13A1"/>
    <w:rsid w:val="007D68A9"/>
    <w:rsid w:val="007E7D85"/>
    <w:rsid w:val="007F187B"/>
    <w:rsid w:val="00803917"/>
    <w:rsid w:val="00803E40"/>
    <w:rsid w:val="00820BCF"/>
    <w:rsid w:val="00825005"/>
    <w:rsid w:val="00831A5A"/>
    <w:rsid w:val="00834927"/>
    <w:rsid w:val="00834D81"/>
    <w:rsid w:val="00836163"/>
    <w:rsid w:val="00853325"/>
    <w:rsid w:val="0085531E"/>
    <w:rsid w:val="0086106D"/>
    <w:rsid w:val="008612CE"/>
    <w:rsid w:val="0086446C"/>
    <w:rsid w:val="00871C68"/>
    <w:rsid w:val="008804E2"/>
    <w:rsid w:val="00882E69"/>
    <w:rsid w:val="008908CF"/>
    <w:rsid w:val="0089438A"/>
    <w:rsid w:val="00894564"/>
    <w:rsid w:val="0089775C"/>
    <w:rsid w:val="00897BC4"/>
    <w:rsid w:val="008A3FAC"/>
    <w:rsid w:val="008A458A"/>
    <w:rsid w:val="008B6632"/>
    <w:rsid w:val="008C288C"/>
    <w:rsid w:val="008D02EE"/>
    <w:rsid w:val="008E04DD"/>
    <w:rsid w:val="008E1589"/>
    <w:rsid w:val="008E272F"/>
    <w:rsid w:val="008F263A"/>
    <w:rsid w:val="008F4CDA"/>
    <w:rsid w:val="008F6181"/>
    <w:rsid w:val="0090347D"/>
    <w:rsid w:val="00906049"/>
    <w:rsid w:val="0090775E"/>
    <w:rsid w:val="00907B27"/>
    <w:rsid w:val="009237C7"/>
    <w:rsid w:val="00925CF0"/>
    <w:rsid w:val="009345B2"/>
    <w:rsid w:val="009453A3"/>
    <w:rsid w:val="009534D5"/>
    <w:rsid w:val="0095356E"/>
    <w:rsid w:val="00961019"/>
    <w:rsid w:val="009715FD"/>
    <w:rsid w:val="009752DC"/>
    <w:rsid w:val="00980C18"/>
    <w:rsid w:val="00984AA2"/>
    <w:rsid w:val="00991059"/>
    <w:rsid w:val="0099381B"/>
    <w:rsid w:val="009A1EA4"/>
    <w:rsid w:val="009A1F44"/>
    <w:rsid w:val="009A4952"/>
    <w:rsid w:val="009A65C5"/>
    <w:rsid w:val="009A7F6F"/>
    <w:rsid w:val="009B1A1B"/>
    <w:rsid w:val="009B7FC2"/>
    <w:rsid w:val="009C01F2"/>
    <w:rsid w:val="009C1DE9"/>
    <w:rsid w:val="009C3C80"/>
    <w:rsid w:val="009D1631"/>
    <w:rsid w:val="009D1AEE"/>
    <w:rsid w:val="009D40E3"/>
    <w:rsid w:val="009D4424"/>
    <w:rsid w:val="009E48AD"/>
    <w:rsid w:val="009F150C"/>
    <w:rsid w:val="009F7892"/>
    <w:rsid w:val="00A0163C"/>
    <w:rsid w:val="00A0196F"/>
    <w:rsid w:val="00A03890"/>
    <w:rsid w:val="00A0394D"/>
    <w:rsid w:val="00A1019B"/>
    <w:rsid w:val="00A1500E"/>
    <w:rsid w:val="00A26EF2"/>
    <w:rsid w:val="00A34F12"/>
    <w:rsid w:val="00A35946"/>
    <w:rsid w:val="00A36B4F"/>
    <w:rsid w:val="00A37967"/>
    <w:rsid w:val="00A401F5"/>
    <w:rsid w:val="00A41352"/>
    <w:rsid w:val="00A45552"/>
    <w:rsid w:val="00A502F8"/>
    <w:rsid w:val="00A50F2B"/>
    <w:rsid w:val="00A52AE0"/>
    <w:rsid w:val="00A5393D"/>
    <w:rsid w:val="00A550CC"/>
    <w:rsid w:val="00A70A42"/>
    <w:rsid w:val="00A71244"/>
    <w:rsid w:val="00A763E8"/>
    <w:rsid w:val="00A76864"/>
    <w:rsid w:val="00A76A81"/>
    <w:rsid w:val="00A8502C"/>
    <w:rsid w:val="00A96A47"/>
    <w:rsid w:val="00AA0C4F"/>
    <w:rsid w:val="00AC0F65"/>
    <w:rsid w:val="00AC14C8"/>
    <w:rsid w:val="00AC210E"/>
    <w:rsid w:val="00AC5322"/>
    <w:rsid w:val="00AD3EBA"/>
    <w:rsid w:val="00AD6AA8"/>
    <w:rsid w:val="00AE2C81"/>
    <w:rsid w:val="00AE5609"/>
    <w:rsid w:val="00AF2BBF"/>
    <w:rsid w:val="00AF5D60"/>
    <w:rsid w:val="00B0249E"/>
    <w:rsid w:val="00B05EF4"/>
    <w:rsid w:val="00B06754"/>
    <w:rsid w:val="00B10275"/>
    <w:rsid w:val="00B1296D"/>
    <w:rsid w:val="00B1465B"/>
    <w:rsid w:val="00B22CF3"/>
    <w:rsid w:val="00B2357F"/>
    <w:rsid w:val="00B255EC"/>
    <w:rsid w:val="00B27288"/>
    <w:rsid w:val="00B3504A"/>
    <w:rsid w:val="00B406FA"/>
    <w:rsid w:val="00B4333E"/>
    <w:rsid w:val="00B470E3"/>
    <w:rsid w:val="00B50169"/>
    <w:rsid w:val="00B511AD"/>
    <w:rsid w:val="00B554C3"/>
    <w:rsid w:val="00B66FCF"/>
    <w:rsid w:val="00B73D40"/>
    <w:rsid w:val="00B754D4"/>
    <w:rsid w:val="00B777B5"/>
    <w:rsid w:val="00B82BA6"/>
    <w:rsid w:val="00B83B53"/>
    <w:rsid w:val="00B945AB"/>
    <w:rsid w:val="00B96BD2"/>
    <w:rsid w:val="00B96D53"/>
    <w:rsid w:val="00BA5EA8"/>
    <w:rsid w:val="00BB1D2F"/>
    <w:rsid w:val="00BB3D1D"/>
    <w:rsid w:val="00BB45D6"/>
    <w:rsid w:val="00BB5D74"/>
    <w:rsid w:val="00BC3B49"/>
    <w:rsid w:val="00BC5228"/>
    <w:rsid w:val="00BD1D1F"/>
    <w:rsid w:val="00BD4CA1"/>
    <w:rsid w:val="00BD7110"/>
    <w:rsid w:val="00BE2A34"/>
    <w:rsid w:val="00BE2AE7"/>
    <w:rsid w:val="00BE5B43"/>
    <w:rsid w:val="00BE6B5A"/>
    <w:rsid w:val="00BF0490"/>
    <w:rsid w:val="00BF16AB"/>
    <w:rsid w:val="00C03DC6"/>
    <w:rsid w:val="00C1408A"/>
    <w:rsid w:val="00C144BF"/>
    <w:rsid w:val="00C203DD"/>
    <w:rsid w:val="00C2199C"/>
    <w:rsid w:val="00C22824"/>
    <w:rsid w:val="00C24EB3"/>
    <w:rsid w:val="00C25A21"/>
    <w:rsid w:val="00C264A8"/>
    <w:rsid w:val="00C359CC"/>
    <w:rsid w:val="00C36475"/>
    <w:rsid w:val="00C45A94"/>
    <w:rsid w:val="00C51442"/>
    <w:rsid w:val="00C518EB"/>
    <w:rsid w:val="00C551E9"/>
    <w:rsid w:val="00C55CF6"/>
    <w:rsid w:val="00C62F5F"/>
    <w:rsid w:val="00C63DB4"/>
    <w:rsid w:val="00C6431A"/>
    <w:rsid w:val="00C677B3"/>
    <w:rsid w:val="00C70BE1"/>
    <w:rsid w:val="00C74261"/>
    <w:rsid w:val="00C770C4"/>
    <w:rsid w:val="00C90392"/>
    <w:rsid w:val="00C92A77"/>
    <w:rsid w:val="00C93AE1"/>
    <w:rsid w:val="00C97A7F"/>
    <w:rsid w:val="00CA71C7"/>
    <w:rsid w:val="00CB249B"/>
    <w:rsid w:val="00CB2EA0"/>
    <w:rsid w:val="00CC0FCA"/>
    <w:rsid w:val="00CC486D"/>
    <w:rsid w:val="00CC5882"/>
    <w:rsid w:val="00CC7899"/>
    <w:rsid w:val="00CD7DDD"/>
    <w:rsid w:val="00CE1FE7"/>
    <w:rsid w:val="00CE3E70"/>
    <w:rsid w:val="00CE5886"/>
    <w:rsid w:val="00CE5D03"/>
    <w:rsid w:val="00CE693E"/>
    <w:rsid w:val="00CE74C7"/>
    <w:rsid w:val="00CF10C0"/>
    <w:rsid w:val="00CF19D2"/>
    <w:rsid w:val="00CF3168"/>
    <w:rsid w:val="00CF4CE1"/>
    <w:rsid w:val="00CF6614"/>
    <w:rsid w:val="00D046A6"/>
    <w:rsid w:val="00D0774B"/>
    <w:rsid w:val="00D144A2"/>
    <w:rsid w:val="00D14CF8"/>
    <w:rsid w:val="00D15B0E"/>
    <w:rsid w:val="00D30976"/>
    <w:rsid w:val="00D42461"/>
    <w:rsid w:val="00D47B8D"/>
    <w:rsid w:val="00D53DAF"/>
    <w:rsid w:val="00D54767"/>
    <w:rsid w:val="00D556E9"/>
    <w:rsid w:val="00D55EAD"/>
    <w:rsid w:val="00D56036"/>
    <w:rsid w:val="00D71841"/>
    <w:rsid w:val="00D7307C"/>
    <w:rsid w:val="00D7670D"/>
    <w:rsid w:val="00D77408"/>
    <w:rsid w:val="00D8586F"/>
    <w:rsid w:val="00D90407"/>
    <w:rsid w:val="00D94321"/>
    <w:rsid w:val="00D974BB"/>
    <w:rsid w:val="00D975ED"/>
    <w:rsid w:val="00DA6881"/>
    <w:rsid w:val="00DB58DC"/>
    <w:rsid w:val="00DC2FB8"/>
    <w:rsid w:val="00DC7244"/>
    <w:rsid w:val="00DD0876"/>
    <w:rsid w:val="00DD3833"/>
    <w:rsid w:val="00DD6134"/>
    <w:rsid w:val="00DD73D9"/>
    <w:rsid w:val="00DE5CFE"/>
    <w:rsid w:val="00DF292E"/>
    <w:rsid w:val="00DF52B6"/>
    <w:rsid w:val="00E00584"/>
    <w:rsid w:val="00E10B7E"/>
    <w:rsid w:val="00E11F6E"/>
    <w:rsid w:val="00E14C28"/>
    <w:rsid w:val="00E21C77"/>
    <w:rsid w:val="00E24888"/>
    <w:rsid w:val="00E24956"/>
    <w:rsid w:val="00E27DC5"/>
    <w:rsid w:val="00E4154B"/>
    <w:rsid w:val="00E4196C"/>
    <w:rsid w:val="00E42A81"/>
    <w:rsid w:val="00E43EA3"/>
    <w:rsid w:val="00E512F1"/>
    <w:rsid w:val="00E571FE"/>
    <w:rsid w:val="00E64C5E"/>
    <w:rsid w:val="00E71A13"/>
    <w:rsid w:val="00E75D2E"/>
    <w:rsid w:val="00E85C7B"/>
    <w:rsid w:val="00E92E6B"/>
    <w:rsid w:val="00E9390C"/>
    <w:rsid w:val="00E95422"/>
    <w:rsid w:val="00E96C22"/>
    <w:rsid w:val="00E97C43"/>
    <w:rsid w:val="00EA454E"/>
    <w:rsid w:val="00EA78CF"/>
    <w:rsid w:val="00EB15D1"/>
    <w:rsid w:val="00EB74B8"/>
    <w:rsid w:val="00EE5AD6"/>
    <w:rsid w:val="00EF5036"/>
    <w:rsid w:val="00EF509D"/>
    <w:rsid w:val="00EF6CB9"/>
    <w:rsid w:val="00EF7535"/>
    <w:rsid w:val="00F05838"/>
    <w:rsid w:val="00F11C86"/>
    <w:rsid w:val="00F22148"/>
    <w:rsid w:val="00F26579"/>
    <w:rsid w:val="00F27D38"/>
    <w:rsid w:val="00F30995"/>
    <w:rsid w:val="00F31DB1"/>
    <w:rsid w:val="00F362E4"/>
    <w:rsid w:val="00F374B3"/>
    <w:rsid w:val="00F409B2"/>
    <w:rsid w:val="00F44793"/>
    <w:rsid w:val="00F46B57"/>
    <w:rsid w:val="00F51162"/>
    <w:rsid w:val="00F52B83"/>
    <w:rsid w:val="00F54BEB"/>
    <w:rsid w:val="00F569C7"/>
    <w:rsid w:val="00F628BA"/>
    <w:rsid w:val="00F64DEE"/>
    <w:rsid w:val="00F67B1B"/>
    <w:rsid w:val="00F67D19"/>
    <w:rsid w:val="00F73560"/>
    <w:rsid w:val="00F86AC7"/>
    <w:rsid w:val="00F87770"/>
    <w:rsid w:val="00F923D7"/>
    <w:rsid w:val="00F92DA1"/>
    <w:rsid w:val="00FA0D03"/>
    <w:rsid w:val="00FA25C4"/>
    <w:rsid w:val="00FA2DB0"/>
    <w:rsid w:val="00FA37D2"/>
    <w:rsid w:val="00FC7DBB"/>
    <w:rsid w:val="00FD44AD"/>
    <w:rsid w:val="00FD720D"/>
    <w:rsid w:val="00FD7765"/>
    <w:rsid w:val="00FE4298"/>
    <w:rsid w:val="00FE49F6"/>
    <w:rsid w:val="00FF1D3F"/>
    <w:rsid w:val="00FF1F8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7969971"/>
  <w15:docId w15:val="{C3FD9505-58AC-4890-8EB0-72737270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76"/>
    <w:rPr>
      <w:sz w:val="24"/>
      <w:szCs w:val="24"/>
      <w:lang w:val="en-GB"/>
    </w:rPr>
  </w:style>
  <w:style w:type="paragraph" w:styleId="Titre1">
    <w:name w:val="heading 1"/>
    <w:basedOn w:val="Normal"/>
    <w:next w:val="Normal"/>
    <w:link w:val="Titre1Car"/>
    <w:qFormat/>
    <w:rsid w:val="00DD0876"/>
    <w:pPr>
      <w:keepNext/>
      <w:spacing w:line="300" w:lineRule="atLeast"/>
      <w:jc w:val="center"/>
      <w:outlineLvl w:val="0"/>
    </w:pPr>
    <w:rPr>
      <w:rFonts w:ascii="CG Times (PCL6)" w:hAnsi="CG Times (PCL6)"/>
      <w:b/>
      <w:bCs/>
      <w:snapToGrid w:val="0"/>
      <w:sz w:val="22"/>
      <w:szCs w:val="22"/>
    </w:rPr>
  </w:style>
  <w:style w:type="paragraph" w:styleId="Titre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0876"/>
    <w:rPr>
      <w:color w:val="0000FF"/>
      <w:u w:val="single"/>
    </w:rPr>
  </w:style>
  <w:style w:type="paragraph" w:styleId="En-tte">
    <w:name w:val="header"/>
    <w:basedOn w:val="Normal"/>
    <w:rsid w:val="00DD0876"/>
    <w:pPr>
      <w:tabs>
        <w:tab w:val="center" w:pos="4536"/>
        <w:tab w:val="right" w:pos="9072"/>
      </w:tabs>
    </w:pPr>
    <w:rPr>
      <w:sz w:val="20"/>
      <w:szCs w:val="20"/>
    </w:rPr>
  </w:style>
  <w:style w:type="paragraph" w:styleId="Pieddepage">
    <w:name w:val="footer"/>
    <w:basedOn w:val="Normal"/>
    <w:link w:val="PieddepageCar"/>
    <w:rsid w:val="00DD0876"/>
    <w:pPr>
      <w:tabs>
        <w:tab w:val="center" w:pos="4536"/>
        <w:tab w:val="right" w:pos="9072"/>
      </w:tabs>
    </w:pPr>
  </w:style>
  <w:style w:type="character" w:styleId="Lienhypertextesuivivisit">
    <w:name w:val="FollowedHyperlink"/>
    <w:basedOn w:val="Policepardfaut"/>
    <w:rsid w:val="00DD0876"/>
    <w:rPr>
      <w:color w:val="800080"/>
      <w:u w:val="single"/>
    </w:rPr>
  </w:style>
  <w:style w:type="paragraph" w:styleId="Corpsdetexte">
    <w:name w:val="Body Text"/>
    <w:basedOn w:val="Normal"/>
    <w:rsid w:val="00DD0876"/>
    <w:pPr>
      <w:jc w:val="both"/>
    </w:pPr>
    <w:rPr>
      <w:rFonts w:ascii="Arial Narrow" w:hAnsi="Arial Narrow"/>
      <w:snapToGrid w:val="0"/>
      <w:sz w:val="22"/>
      <w:szCs w:val="22"/>
    </w:rPr>
  </w:style>
  <w:style w:type="paragraph" w:styleId="Retraitcorpsdetexte">
    <w:name w:val="Body Text Indent"/>
    <w:basedOn w:val="Normal"/>
    <w:rsid w:val="00DD0876"/>
    <w:pPr>
      <w:spacing w:after="120"/>
      <w:ind w:left="283"/>
    </w:pPr>
  </w:style>
  <w:style w:type="paragraph" w:styleId="Corpsdetexte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rsid w:val="00DD0876"/>
    <w:pPr>
      <w:spacing w:before="150" w:line="348" w:lineRule="auto"/>
    </w:pPr>
    <w:rPr>
      <w:lang w:val="fr-FR"/>
    </w:rPr>
  </w:style>
  <w:style w:type="paragraph" w:styleId="Notedebasdepage">
    <w:name w:val="footnote text"/>
    <w:basedOn w:val="Normal"/>
    <w:semiHidden/>
    <w:rsid w:val="00D556E9"/>
    <w:rPr>
      <w:sz w:val="20"/>
      <w:szCs w:val="20"/>
    </w:rPr>
  </w:style>
  <w:style w:type="character" w:styleId="Appelnotedebasdep">
    <w:name w:val="footnote reference"/>
    <w:basedOn w:val="Policepardfaut"/>
    <w:uiPriority w:val="99"/>
    <w:semiHidden/>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PieddepageCar">
    <w:name w:val="Pied de page Car"/>
    <w:link w:val="Pieddepage"/>
    <w:rsid w:val="00117F29"/>
    <w:rPr>
      <w:sz w:val="24"/>
      <w:szCs w:val="24"/>
      <w:lang w:val="en-GB"/>
    </w:rPr>
  </w:style>
  <w:style w:type="character" w:customStyle="1" w:styleId="Titre1Car">
    <w:name w:val="Titre 1 Car"/>
    <w:basedOn w:val="Policepardfaut"/>
    <w:link w:val="Titre1"/>
    <w:rsid w:val="003269F9"/>
    <w:rPr>
      <w:rFonts w:ascii="CG Times (PCL6)" w:hAnsi="CG Times (PCL6)"/>
      <w:b/>
      <w:bCs/>
      <w:snapToGrid w:val="0"/>
      <w:sz w:val="22"/>
      <w:szCs w:val="22"/>
      <w:lang w:val="en-GB"/>
    </w:rPr>
  </w:style>
  <w:style w:type="character" w:styleId="Marquedecommentaire">
    <w:name w:val="annotation reference"/>
    <w:basedOn w:val="Policepardfaut"/>
    <w:unhideWhenUsed/>
    <w:rsid w:val="00772E45"/>
    <w:rPr>
      <w:sz w:val="16"/>
      <w:szCs w:val="16"/>
    </w:rPr>
  </w:style>
  <w:style w:type="paragraph" w:styleId="Commentaire">
    <w:name w:val="annotation text"/>
    <w:basedOn w:val="Normal"/>
    <w:link w:val="CommentaireCar"/>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aireCar">
    <w:name w:val="Commentaire Car"/>
    <w:basedOn w:val="Policepardfaut"/>
    <w:link w:val="Commentaire"/>
    <w:rsid w:val="00772E45"/>
    <w:rPr>
      <w:rFonts w:ascii="Calibri" w:eastAsiaTheme="minorHAnsi" w:hAnsi="Calibri" w:cstheme="minorBidi"/>
      <w:sz w:val="22"/>
      <w:szCs w:val="22"/>
      <w:lang w:val="en-GB" w:eastAsia="en-US"/>
    </w:rPr>
  </w:style>
  <w:style w:type="paragraph" w:styleId="Textedebulles">
    <w:name w:val="Balloon Text"/>
    <w:basedOn w:val="Normal"/>
    <w:link w:val="TextedebullesCar"/>
    <w:rsid w:val="00772E45"/>
    <w:rPr>
      <w:rFonts w:ascii="Tahoma" w:hAnsi="Tahoma" w:cs="Tahoma"/>
      <w:sz w:val="16"/>
      <w:szCs w:val="16"/>
    </w:rPr>
  </w:style>
  <w:style w:type="character" w:customStyle="1" w:styleId="TextedebullesCar">
    <w:name w:val="Texte de bulles Car"/>
    <w:basedOn w:val="Policepardfaut"/>
    <w:link w:val="Textedebulles"/>
    <w:rsid w:val="00772E45"/>
    <w:rPr>
      <w:rFonts w:ascii="Tahoma" w:hAnsi="Tahoma" w:cs="Tahoma"/>
      <w:sz w:val="16"/>
      <w:szCs w:val="16"/>
      <w:lang w:val="en-GB"/>
    </w:rPr>
  </w:style>
  <w:style w:type="paragraph" w:styleId="Paragraphedeliste">
    <w:name w:val="List Paragraph"/>
    <w:basedOn w:val="Normal"/>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Objetducommentaire">
    <w:name w:val="annotation subject"/>
    <w:basedOn w:val="Commentaire"/>
    <w:next w:val="Commentaire"/>
    <w:link w:val="ObjetducommentaireCar"/>
    <w:semiHidden/>
    <w:unhideWhenUsed/>
    <w:rsid w:val="00C92A77"/>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ObjetducommentaireCar">
    <w:name w:val="Objet du commentaire Car"/>
    <w:basedOn w:val="CommentaireCar"/>
    <w:link w:val="Objetducommentaire"/>
    <w:semiHidden/>
    <w:rsid w:val="00C92A77"/>
    <w:rPr>
      <w:rFonts w:ascii="Calibri" w:eastAsiaTheme="minorHAnsi" w:hAnsi="Calibri" w:cstheme="minorBidi"/>
      <w:b/>
      <w:bCs/>
      <w:sz w:val="22"/>
      <w:szCs w:val="22"/>
      <w:lang w:val="en-GB" w:eastAsia="en-US"/>
    </w:rPr>
  </w:style>
  <w:style w:type="paragraph" w:styleId="Rvision">
    <w:name w:val="Revision"/>
    <w:hidden/>
    <w:uiPriority w:val="99"/>
    <w:semiHidden/>
    <w:rsid w:val="00C92A77"/>
    <w:rPr>
      <w:sz w:val="24"/>
      <w:szCs w:val="24"/>
      <w:lang w:val="en-GB"/>
    </w:rPr>
  </w:style>
  <w:style w:type="character" w:customStyle="1" w:styleId="apple-converted-space">
    <w:name w:val="apple-converted-space"/>
    <w:basedOn w:val="Policepardfaut"/>
    <w:rsid w:val="0060668E"/>
  </w:style>
  <w:style w:type="paragraph" w:customStyle="1" w:styleId="amundibasictext">
    <w:name w:val="amundibasictext"/>
    <w:basedOn w:val="Normal"/>
    <w:rsid w:val="000A4C0A"/>
    <w:pPr>
      <w:spacing w:before="120" w:after="120" w:line="220" w:lineRule="atLeast"/>
      <w:jc w:val="both"/>
    </w:pPr>
    <w:rPr>
      <w:rFonts w:ascii="Arial" w:eastAsiaTheme="minorEastAsia" w:hAnsi="Arial" w:cs="Arial"/>
      <w:color w:val="000000"/>
      <w:sz w:val="20"/>
      <w:szCs w:val="20"/>
      <w:lang w:val="fr-FR"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737">
      <w:bodyDiv w:val="1"/>
      <w:marLeft w:val="0"/>
      <w:marRight w:val="0"/>
      <w:marTop w:val="0"/>
      <w:marBottom w:val="0"/>
      <w:divBdr>
        <w:top w:val="none" w:sz="0" w:space="0" w:color="auto"/>
        <w:left w:val="none" w:sz="0" w:space="0" w:color="auto"/>
        <w:bottom w:val="none" w:sz="0" w:space="0" w:color="auto"/>
        <w:right w:val="none" w:sz="0" w:space="0" w:color="auto"/>
      </w:divBdr>
      <w:divsChild>
        <w:div w:id="1409577872">
          <w:marLeft w:val="0"/>
          <w:marRight w:val="0"/>
          <w:marTop w:val="0"/>
          <w:marBottom w:val="0"/>
          <w:divBdr>
            <w:top w:val="none" w:sz="0" w:space="0" w:color="auto"/>
            <w:left w:val="none" w:sz="0" w:space="0" w:color="auto"/>
            <w:bottom w:val="none" w:sz="0" w:space="0" w:color="auto"/>
            <w:right w:val="none" w:sz="0" w:space="0" w:color="auto"/>
          </w:divBdr>
        </w:div>
      </w:divsChild>
    </w:div>
    <w:div w:id="93013987">
      <w:bodyDiv w:val="1"/>
      <w:marLeft w:val="0"/>
      <w:marRight w:val="0"/>
      <w:marTop w:val="0"/>
      <w:marBottom w:val="0"/>
      <w:divBdr>
        <w:top w:val="none" w:sz="0" w:space="0" w:color="auto"/>
        <w:left w:val="none" w:sz="0" w:space="0" w:color="auto"/>
        <w:bottom w:val="none" w:sz="0" w:space="0" w:color="auto"/>
        <w:right w:val="none" w:sz="0" w:space="0" w:color="auto"/>
      </w:divBdr>
      <w:divsChild>
        <w:div w:id="446896176">
          <w:marLeft w:val="0"/>
          <w:marRight w:val="0"/>
          <w:marTop w:val="0"/>
          <w:marBottom w:val="0"/>
          <w:divBdr>
            <w:top w:val="none" w:sz="0" w:space="0" w:color="auto"/>
            <w:left w:val="none" w:sz="0" w:space="0" w:color="auto"/>
            <w:bottom w:val="none" w:sz="0" w:space="0" w:color="auto"/>
            <w:right w:val="none" w:sz="0" w:space="0" w:color="auto"/>
          </w:divBdr>
          <w:divsChild>
            <w:div w:id="18707598">
              <w:marLeft w:val="0"/>
              <w:marRight w:val="0"/>
              <w:marTop w:val="0"/>
              <w:marBottom w:val="0"/>
              <w:divBdr>
                <w:top w:val="none" w:sz="0" w:space="0" w:color="auto"/>
                <w:left w:val="none" w:sz="0" w:space="0" w:color="auto"/>
                <w:bottom w:val="none" w:sz="0" w:space="0" w:color="auto"/>
                <w:right w:val="none" w:sz="0" w:space="0" w:color="auto"/>
              </w:divBdr>
            </w:div>
            <w:div w:id="554125681">
              <w:marLeft w:val="0"/>
              <w:marRight w:val="0"/>
              <w:marTop w:val="0"/>
              <w:marBottom w:val="0"/>
              <w:divBdr>
                <w:top w:val="none" w:sz="0" w:space="0" w:color="auto"/>
                <w:left w:val="none" w:sz="0" w:space="0" w:color="auto"/>
                <w:bottom w:val="none" w:sz="0" w:space="0" w:color="auto"/>
                <w:right w:val="none" w:sz="0" w:space="0" w:color="auto"/>
              </w:divBdr>
            </w:div>
            <w:div w:id="1112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373">
      <w:bodyDiv w:val="1"/>
      <w:marLeft w:val="0"/>
      <w:marRight w:val="0"/>
      <w:marTop w:val="0"/>
      <w:marBottom w:val="0"/>
      <w:divBdr>
        <w:top w:val="none" w:sz="0" w:space="0" w:color="auto"/>
        <w:left w:val="none" w:sz="0" w:space="0" w:color="auto"/>
        <w:bottom w:val="none" w:sz="0" w:space="0" w:color="auto"/>
        <w:right w:val="none" w:sz="0" w:space="0" w:color="auto"/>
      </w:divBdr>
      <w:divsChild>
        <w:div w:id="1476675382">
          <w:marLeft w:val="0"/>
          <w:marRight w:val="0"/>
          <w:marTop w:val="0"/>
          <w:marBottom w:val="0"/>
          <w:divBdr>
            <w:top w:val="none" w:sz="0" w:space="0" w:color="auto"/>
            <w:left w:val="none" w:sz="0" w:space="0" w:color="auto"/>
            <w:bottom w:val="none" w:sz="0" w:space="0" w:color="auto"/>
            <w:right w:val="none" w:sz="0" w:space="0" w:color="auto"/>
          </w:divBdr>
          <w:divsChild>
            <w:div w:id="379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675">
      <w:bodyDiv w:val="1"/>
      <w:marLeft w:val="0"/>
      <w:marRight w:val="0"/>
      <w:marTop w:val="0"/>
      <w:marBottom w:val="0"/>
      <w:divBdr>
        <w:top w:val="none" w:sz="0" w:space="0" w:color="auto"/>
        <w:left w:val="none" w:sz="0" w:space="0" w:color="auto"/>
        <w:bottom w:val="none" w:sz="0" w:space="0" w:color="auto"/>
        <w:right w:val="none" w:sz="0" w:space="0" w:color="auto"/>
      </w:divBdr>
    </w:div>
    <w:div w:id="174854309">
      <w:bodyDiv w:val="1"/>
      <w:marLeft w:val="0"/>
      <w:marRight w:val="0"/>
      <w:marTop w:val="0"/>
      <w:marBottom w:val="0"/>
      <w:divBdr>
        <w:top w:val="none" w:sz="0" w:space="0" w:color="auto"/>
        <w:left w:val="none" w:sz="0" w:space="0" w:color="auto"/>
        <w:bottom w:val="none" w:sz="0" w:space="0" w:color="auto"/>
        <w:right w:val="none" w:sz="0" w:space="0" w:color="auto"/>
      </w:divBdr>
    </w:div>
    <w:div w:id="279193051">
      <w:bodyDiv w:val="1"/>
      <w:marLeft w:val="0"/>
      <w:marRight w:val="0"/>
      <w:marTop w:val="0"/>
      <w:marBottom w:val="0"/>
      <w:divBdr>
        <w:top w:val="none" w:sz="0" w:space="0" w:color="auto"/>
        <w:left w:val="none" w:sz="0" w:space="0" w:color="auto"/>
        <w:bottom w:val="none" w:sz="0" w:space="0" w:color="auto"/>
        <w:right w:val="none" w:sz="0" w:space="0" w:color="auto"/>
      </w:divBdr>
      <w:divsChild>
        <w:div w:id="465584593">
          <w:marLeft w:val="0"/>
          <w:marRight w:val="0"/>
          <w:marTop w:val="0"/>
          <w:marBottom w:val="0"/>
          <w:divBdr>
            <w:top w:val="none" w:sz="0" w:space="0" w:color="auto"/>
            <w:left w:val="none" w:sz="0" w:space="0" w:color="auto"/>
            <w:bottom w:val="none" w:sz="0" w:space="0" w:color="auto"/>
            <w:right w:val="none" w:sz="0" w:space="0" w:color="auto"/>
          </w:divBdr>
        </w:div>
      </w:divsChild>
    </w:div>
    <w:div w:id="377322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4218">
          <w:marLeft w:val="0"/>
          <w:marRight w:val="0"/>
          <w:marTop w:val="0"/>
          <w:marBottom w:val="0"/>
          <w:divBdr>
            <w:top w:val="none" w:sz="0" w:space="0" w:color="auto"/>
            <w:left w:val="none" w:sz="0" w:space="0" w:color="auto"/>
            <w:bottom w:val="none" w:sz="0" w:space="0" w:color="auto"/>
            <w:right w:val="none" w:sz="0" w:space="0" w:color="auto"/>
          </w:divBdr>
        </w:div>
      </w:divsChild>
    </w:div>
    <w:div w:id="446703266">
      <w:bodyDiv w:val="1"/>
      <w:marLeft w:val="0"/>
      <w:marRight w:val="0"/>
      <w:marTop w:val="0"/>
      <w:marBottom w:val="0"/>
      <w:divBdr>
        <w:top w:val="none" w:sz="0" w:space="0" w:color="auto"/>
        <w:left w:val="none" w:sz="0" w:space="0" w:color="auto"/>
        <w:bottom w:val="none" w:sz="0" w:space="0" w:color="auto"/>
        <w:right w:val="none" w:sz="0" w:space="0" w:color="auto"/>
      </w:divBdr>
      <w:divsChild>
        <w:div w:id="349992288">
          <w:marLeft w:val="0"/>
          <w:marRight w:val="0"/>
          <w:marTop w:val="0"/>
          <w:marBottom w:val="0"/>
          <w:divBdr>
            <w:top w:val="none" w:sz="0" w:space="0" w:color="auto"/>
            <w:left w:val="none" w:sz="0" w:space="0" w:color="auto"/>
            <w:bottom w:val="single" w:sz="8" w:space="2" w:color="000000"/>
            <w:right w:val="none" w:sz="0" w:space="0" w:color="auto"/>
          </w:divBdr>
        </w:div>
        <w:div w:id="1748334290">
          <w:marLeft w:val="0"/>
          <w:marRight w:val="0"/>
          <w:marTop w:val="0"/>
          <w:marBottom w:val="0"/>
          <w:divBdr>
            <w:top w:val="none" w:sz="0" w:space="0" w:color="auto"/>
            <w:left w:val="none" w:sz="0" w:space="0" w:color="auto"/>
            <w:bottom w:val="single" w:sz="8" w:space="2" w:color="000000"/>
            <w:right w:val="none" w:sz="0" w:space="0" w:color="auto"/>
          </w:divBdr>
        </w:div>
        <w:div w:id="1882083868">
          <w:marLeft w:val="0"/>
          <w:marRight w:val="0"/>
          <w:marTop w:val="0"/>
          <w:marBottom w:val="0"/>
          <w:divBdr>
            <w:top w:val="none" w:sz="0" w:space="0" w:color="auto"/>
            <w:left w:val="none" w:sz="0" w:space="0" w:color="auto"/>
            <w:bottom w:val="single" w:sz="8" w:space="2" w:color="000000"/>
            <w:right w:val="none" w:sz="0" w:space="0" w:color="auto"/>
          </w:divBdr>
        </w:div>
      </w:divsChild>
    </w:div>
    <w:div w:id="777872782">
      <w:bodyDiv w:val="1"/>
      <w:marLeft w:val="0"/>
      <w:marRight w:val="0"/>
      <w:marTop w:val="0"/>
      <w:marBottom w:val="0"/>
      <w:divBdr>
        <w:top w:val="none" w:sz="0" w:space="0" w:color="auto"/>
        <w:left w:val="none" w:sz="0" w:space="0" w:color="auto"/>
        <w:bottom w:val="none" w:sz="0" w:space="0" w:color="auto"/>
        <w:right w:val="none" w:sz="0" w:space="0" w:color="auto"/>
      </w:divBdr>
      <w:divsChild>
        <w:div w:id="861164611">
          <w:marLeft w:val="0"/>
          <w:marRight w:val="0"/>
          <w:marTop w:val="0"/>
          <w:marBottom w:val="0"/>
          <w:divBdr>
            <w:top w:val="none" w:sz="0" w:space="0" w:color="auto"/>
            <w:left w:val="none" w:sz="0" w:space="0" w:color="auto"/>
            <w:bottom w:val="none" w:sz="0" w:space="0" w:color="auto"/>
            <w:right w:val="none" w:sz="0" w:space="0" w:color="auto"/>
          </w:divBdr>
        </w:div>
      </w:divsChild>
    </w:div>
    <w:div w:id="856843250">
      <w:bodyDiv w:val="1"/>
      <w:marLeft w:val="0"/>
      <w:marRight w:val="0"/>
      <w:marTop w:val="0"/>
      <w:marBottom w:val="0"/>
      <w:divBdr>
        <w:top w:val="none" w:sz="0" w:space="0" w:color="auto"/>
        <w:left w:val="none" w:sz="0" w:space="0" w:color="auto"/>
        <w:bottom w:val="none" w:sz="0" w:space="0" w:color="auto"/>
        <w:right w:val="none" w:sz="0" w:space="0" w:color="auto"/>
      </w:divBdr>
      <w:divsChild>
        <w:div w:id="1126041371">
          <w:marLeft w:val="0"/>
          <w:marRight w:val="0"/>
          <w:marTop w:val="0"/>
          <w:marBottom w:val="0"/>
          <w:divBdr>
            <w:top w:val="none" w:sz="0" w:space="0" w:color="auto"/>
            <w:left w:val="none" w:sz="0" w:space="0" w:color="auto"/>
            <w:bottom w:val="none" w:sz="0" w:space="0" w:color="auto"/>
            <w:right w:val="none" w:sz="0" w:space="0" w:color="auto"/>
          </w:divBdr>
        </w:div>
      </w:divsChild>
    </w:div>
    <w:div w:id="885337621">
      <w:bodyDiv w:val="1"/>
      <w:marLeft w:val="0"/>
      <w:marRight w:val="0"/>
      <w:marTop w:val="0"/>
      <w:marBottom w:val="0"/>
      <w:divBdr>
        <w:top w:val="none" w:sz="0" w:space="0" w:color="auto"/>
        <w:left w:val="none" w:sz="0" w:space="0" w:color="auto"/>
        <w:bottom w:val="none" w:sz="0" w:space="0" w:color="auto"/>
        <w:right w:val="none" w:sz="0" w:space="0" w:color="auto"/>
      </w:divBdr>
    </w:div>
    <w:div w:id="1067385119">
      <w:bodyDiv w:val="1"/>
      <w:marLeft w:val="0"/>
      <w:marRight w:val="0"/>
      <w:marTop w:val="0"/>
      <w:marBottom w:val="0"/>
      <w:divBdr>
        <w:top w:val="none" w:sz="0" w:space="0" w:color="auto"/>
        <w:left w:val="none" w:sz="0" w:space="0" w:color="auto"/>
        <w:bottom w:val="none" w:sz="0" w:space="0" w:color="auto"/>
        <w:right w:val="none" w:sz="0" w:space="0" w:color="auto"/>
      </w:divBdr>
      <w:divsChild>
        <w:div w:id="1973095803">
          <w:marLeft w:val="0"/>
          <w:marRight w:val="0"/>
          <w:marTop w:val="0"/>
          <w:marBottom w:val="0"/>
          <w:divBdr>
            <w:top w:val="none" w:sz="0" w:space="0" w:color="auto"/>
            <w:left w:val="none" w:sz="0" w:space="0" w:color="auto"/>
            <w:bottom w:val="none" w:sz="0" w:space="0" w:color="auto"/>
            <w:right w:val="none" w:sz="0" w:space="0" w:color="auto"/>
          </w:divBdr>
          <w:divsChild>
            <w:div w:id="275213334">
              <w:marLeft w:val="0"/>
              <w:marRight w:val="0"/>
              <w:marTop w:val="0"/>
              <w:marBottom w:val="0"/>
              <w:divBdr>
                <w:top w:val="none" w:sz="0" w:space="0" w:color="auto"/>
                <w:left w:val="none" w:sz="0" w:space="0" w:color="auto"/>
                <w:bottom w:val="none" w:sz="0" w:space="0" w:color="auto"/>
                <w:right w:val="none" w:sz="0" w:space="0" w:color="auto"/>
              </w:divBdr>
            </w:div>
            <w:div w:id="771324062">
              <w:marLeft w:val="0"/>
              <w:marRight w:val="0"/>
              <w:marTop w:val="0"/>
              <w:marBottom w:val="0"/>
              <w:divBdr>
                <w:top w:val="none" w:sz="0" w:space="0" w:color="auto"/>
                <w:left w:val="none" w:sz="0" w:space="0" w:color="auto"/>
                <w:bottom w:val="none" w:sz="0" w:space="0" w:color="auto"/>
                <w:right w:val="none" w:sz="0" w:space="0" w:color="auto"/>
              </w:divBdr>
            </w:div>
            <w:div w:id="1127940142">
              <w:marLeft w:val="0"/>
              <w:marRight w:val="0"/>
              <w:marTop w:val="0"/>
              <w:marBottom w:val="0"/>
              <w:divBdr>
                <w:top w:val="none" w:sz="0" w:space="0" w:color="auto"/>
                <w:left w:val="none" w:sz="0" w:space="0" w:color="auto"/>
                <w:bottom w:val="none" w:sz="0" w:space="0" w:color="auto"/>
                <w:right w:val="none" w:sz="0" w:space="0" w:color="auto"/>
              </w:divBdr>
            </w:div>
            <w:div w:id="1549024523">
              <w:marLeft w:val="0"/>
              <w:marRight w:val="0"/>
              <w:marTop w:val="0"/>
              <w:marBottom w:val="0"/>
              <w:divBdr>
                <w:top w:val="none" w:sz="0" w:space="0" w:color="auto"/>
                <w:left w:val="none" w:sz="0" w:space="0" w:color="auto"/>
                <w:bottom w:val="none" w:sz="0" w:space="0" w:color="auto"/>
                <w:right w:val="none" w:sz="0" w:space="0" w:color="auto"/>
              </w:divBdr>
            </w:div>
            <w:div w:id="1703435443">
              <w:marLeft w:val="0"/>
              <w:marRight w:val="0"/>
              <w:marTop w:val="0"/>
              <w:marBottom w:val="0"/>
              <w:divBdr>
                <w:top w:val="none" w:sz="0" w:space="0" w:color="auto"/>
                <w:left w:val="none" w:sz="0" w:space="0" w:color="auto"/>
                <w:bottom w:val="none" w:sz="0" w:space="0" w:color="auto"/>
                <w:right w:val="none" w:sz="0" w:space="0" w:color="auto"/>
              </w:divBdr>
            </w:div>
            <w:div w:id="1988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6">
      <w:bodyDiv w:val="1"/>
      <w:marLeft w:val="0"/>
      <w:marRight w:val="0"/>
      <w:marTop w:val="0"/>
      <w:marBottom w:val="0"/>
      <w:divBdr>
        <w:top w:val="none" w:sz="0" w:space="0" w:color="auto"/>
        <w:left w:val="none" w:sz="0" w:space="0" w:color="auto"/>
        <w:bottom w:val="none" w:sz="0" w:space="0" w:color="auto"/>
        <w:right w:val="none" w:sz="0" w:space="0" w:color="auto"/>
      </w:divBdr>
      <w:divsChild>
        <w:div w:id="2060203500">
          <w:marLeft w:val="0"/>
          <w:marRight w:val="0"/>
          <w:marTop w:val="0"/>
          <w:marBottom w:val="0"/>
          <w:divBdr>
            <w:top w:val="none" w:sz="0" w:space="0" w:color="auto"/>
            <w:left w:val="none" w:sz="0" w:space="0" w:color="auto"/>
            <w:bottom w:val="none" w:sz="0" w:space="0" w:color="auto"/>
            <w:right w:val="none" w:sz="0" w:space="0" w:color="auto"/>
          </w:divBdr>
          <w:divsChild>
            <w:div w:id="346831308">
              <w:marLeft w:val="0"/>
              <w:marRight w:val="0"/>
              <w:marTop w:val="0"/>
              <w:marBottom w:val="0"/>
              <w:divBdr>
                <w:top w:val="none" w:sz="0" w:space="0" w:color="auto"/>
                <w:left w:val="none" w:sz="0" w:space="0" w:color="auto"/>
                <w:bottom w:val="none" w:sz="0" w:space="0" w:color="auto"/>
                <w:right w:val="none" w:sz="0" w:space="0" w:color="auto"/>
              </w:divBdr>
            </w:div>
            <w:div w:id="1151674324">
              <w:marLeft w:val="0"/>
              <w:marRight w:val="0"/>
              <w:marTop w:val="0"/>
              <w:marBottom w:val="0"/>
              <w:divBdr>
                <w:top w:val="none" w:sz="0" w:space="0" w:color="auto"/>
                <w:left w:val="none" w:sz="0" w:space="0" w:color="auto"/>
                <w:bottom w:val="none" w:sz="0" w:space="0" w:color="auto"/>
                <w:right w:val="none" w:sz="0" w:space="0" w:color="auto"/>
              </w:divBdr>
            </w:div>
            <w:div w:id="1292831928">
              <w:marLeft w:val="0"/>
              <w:marRight w:val="0"/>
              <w:marTop w:val="0"/>
              <w:marBottom w:val="0"/>
              <w:divBdr>
                <w:top w:val="none" w:sz="0" w:space="0" w:color="auto"/>
                <w:left w:val="none" w:sz="0" w:space="0" w:color="auto"/>
                <w:bottom w:val="none" w:sz="0" w:space="0" w:color="auto"/>
                <w:right w:val="none" w:sz="0" w:space="0" w:color="auto"/>
              </w:divBdr>
            </w:div>
            <w:div w:id="1446117958">
              <w:marLeft w:val="0"/>
              <w:marRight w:val="0"/>
              <w:marTop w:val="0"/>
              <w:marBottom w:val="0"/>
              <w:divBdr>
                <w:top w:val="none" w:sz="0" w:space="0" w:color="auto"/>
                <w:left w:val="none" w:sz="0" w:space="0" w:color="auto"/>
                <w:bottom w:val="none" w:sz="0" w:space="0" w:color="auto"/>
                <w:right w:val="none" w:sz="0" w:space="0" w:color="auto"/>
              </w:divBdr>
            </w:div>
            <w:div w:id="1782724143">
              <w:marLeft w:val="0"/>
              <w:marRight w:val="0"/>
              <w:marTop w:val="0"/>
              <w:marBottom w:val="0"/>
              <w:divBdr>
                <w:top w:val="none" w:sz="0" w:space="0" w:color="auto"/>
                <w:left w:val="none" w:sz="0" w:space="0" w:color="auto"/>
                <w:bottom w:val="none" w:sz="0" w:space="0" w:color="auto"/>
                <w:right w:val="none" w:sz="0" w:space="0" w:color="auto"/>
              </w:divBdr>
            </w:div>
            <w:div w:id="1951280124">
              <w:marLeft w:val="0"/>
              <w:marRight w:val="0"/>
              <w:marTop w:val="0"/>
              <w:marBottom w:val="0"/>
              <w:divBdr>
                <w:top w:val="none" w:sz="0" w:space="0" w:color="auto"/>
                <w:left w:val="none" w:sz="0" w:space="0" w:color="auto"/>
                <w:bottom w:val="none" w:sz="0" w:space="0" w:color="auto"/>
                <w:right w:val="none" w:sz="0" w:space="0" w:color="auto"/>
              </w:divBdr>
            </w:div>
            <w:div w:id="20830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989">
      <w:bodyDiv w:val="1"/>
      <w:marLeft w:val="0"/>
      <w:marRight w:val="0"/>
      <w:marTop w:val="0"/>
      <w:marBottom w:val="0"/>
      <w:divBdr>
        <w:top w:val="none" w:sz="0" w:space="0" w:color="auto"/>
        <w:left w:val="none" w:sz="0" w:space="0" w:color="auto"/>
        <w:bottom w:val="none" w:sz="0" w:space="0" w:color="auto"/>
        <w:right w:val="none" w:sz="0" w:space="0" w:color="auto"/>
      </w:divBdr>
      <w:divsChild>
        <w:div w:id="1342202098">
          <w:marLeft w:val="0"/>
          <w:marRight w:val="0"/>
          <w:marTop w:val="0"/>
          <w:marBottom w:val="0"/>
          <w:divBdr>
            <w:top w:val="none" w:sz="0" w:space="0" w:color="auto"/>
            <w:left w:val="none" w:sz="0" w:space="0" w:color="auto"/>
            <w:bottom w:val="none" w:sz="0" w:space="0" w:color="auto"/>
            <w:right w:val="none" w:sz="0" w:space="0" w:color="auto"/>
          </w:divBdr>
          <w:divsChild>
            <w:div w:id="668171181">
              <w:marLeft w:val="0"/>
              <w:marRight w:val="0"/>
              <w:marTop w:val="0"/>
              <w:marBottom w:val="0"/>
              <w:divBdr>
                <w:top w:val="none" w:sz="0" w:space="0" w:color="auto"/>
                <w:left w:val="none" w:sz="0" w:space="0" w:color="auto"/>
                <w:bottom w:val="none" w:sz="0" w:space="0" w:color="auto"/>
                <w:right w:val="none" w:sz="0" w:space="0" w:color="auto"/>
              </w:divBdr>
            </w:div>
            <w:div w:id="1870560756">
              <w:marLeft w:val="0"/>
              <w:marRight w:val="0"/>
              <w:marTop w:val="0"/>
              <w:marBottom w:val="0"/>
              <w:divBdr>
                <w:top w:val="none" w:sz="0" w:space="0" w:color="auto"/>
                <w:left w:val="none" w:sz="0" w:space="0" w:color="auto"/>
                <w:bottom w:val="none" w:sz="0" w:space="0" w:color="auto"/>
                <w:right w:val="none" w:sz="0" w:space="0" w:color="auto"/>
              </w:divBdr>
            </w:div>
            <w:div w:id="1874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20">
      <w:bodyDiv w:val="1"/>
      <w:marLeft w:val="0"/>
      <w:marRight w:val="0"/>
      <w:marTop w:val="0"/>
      <w:marBottom w:val="0"/>
      <w:divBdr>
        <w:top w:val="none" w:sz="0" w:space="0" w:color="auto"/>
        <w:left w:val="none" w:sz="0" w:space="0" w:color="auto"/>
        <w:bottom w:val="none" w:sz="0" w:space="0" w:color="auto"/>
        <w:right w:val="none" w:sz="0" w:space="0" w:color="auto"/>
      </w:divBdr>
      <w:divsChild>
        <w:div w:id="357313477">
          <w:marLeft w:val="0"/>
          <w:marRight w:val="0"/>
          <w:marTop w:val="0"/>
          <w:marBottom w:val="0"/>
          <w:divBdr>
            <w:top w:val="none" w:sz="0" w:space="0" w:color="auto"/>
            <w:left w:val="none" w:sz="0" w:space="0" w:color="auto"/>
            <w:bottom w:val="none" w:sz="0" w:space="0" w:color="auto"/>
            <w:right w:val="none" w:sz="0" w:space="0" w:color="auto"/>
          </w:divBdr>
        </w:div>
      </w:divsChild>
    </w:div>
    <w:div w:id="1148280843">
      <w:bodyDiv w:val="1"/>
      <w:marLeft w:val="0"/>
      <w:marRight w:val="0"/>
      <w:marTop w:val="0"/>
      <w:marBottom w:val="0"/>
      <w:divBdr>
        <w:top w:val="none" w:sz="0" w:space="0" w:color="auto"/>
        <w:left w:val="none" w:sz="0" w:space="0" w:color="auto"/>
        <w:bottom w:val="none" w:sz="0" w:space="0" w:color="auto"/>
        <w:right w:val="none" w:sz="0" w:space="0" w:color="auto"/>
      </w:divBdr>
      <w:divsChild>
        <w:div w:id="3899316">
          <w:marLeft w:val="0"/>
          <w:marRight w:val="0"/>
          <w:marTop w:val="0"/>
          <w:marBottom w:val="0"/>
          <w:divBdr>
            <w:top w:val="none" w:sz="0" w:space="0" w:color="auto"/>
            <w:left w:val="none" w:sz="0" w:space="0" w:color="auto"/>
            <w:bottom w:val="none" w:sz="0" w:space="0" w:color="auto"/>
            <w:right w:val="none" w:sz="0" w:space="0" w:color="auto"/>
          </w:divBdr>
        </w:div>
      </w:divsChild>
    </w:div>
    <w:div w:id="1204518055">
      <w:bodyDiv w:val="1"/>
      <w:marLeft w:val="0"/>
      <w:marRight w:val="0"/>
      <w:marTop w:val="0"/>
      <w:marBottom w:val="0"/>
      <w:divBdr>
        <w:top w:val="none" w:sz="0" w:space="0" w:color="auto"/>
        <w:left w:val="none" w:sz="0" w:space="0" w:color="auto"/>
        <w:bottom w:val="none" w:sz="0" w:space="0" w:color="auto"/>
        <w:right w:val="none" w:sz="0" w:space="0" w:color="auto"/>
      </w:divBdr>
      <w:divsChild>
        <w:div w:id="765492451">
          <w:marLeft w:val="0"/>
          <w:marRight w:val="0"/>
          <w:marTop w:val="0"/>
          <w:marBottom w:val="0"/>
          <w:divBdr>
            <w:top w:val="none" w:sz="0" w:space="0" w:color="auto"/>
            <w:left w:val="none" w:sz="0" w:space="0" w:color="auto"/>
            <w:bottom w:val="none" w:sz="0" w:space="0" w:color="auto"/>
            <w:right w:val="none" w:sz="0" w:space="0" w:color="auto"/>
          </w:divBdr>
          <w:divsChild>
            <w:div w:id="1478184002">
              <w:marLeft w:val="0"/>
              <w:marRight w:val="0"/>
              <w:marTop w:val="0"/>
              <w:marBottom w:val="0"/>
              <w:divBdr>
                <w:top w:val="none" w:sz="0" w:space="0" w:color="auto"/>
                <w:left w:val="none" w:sz="0" w:space="0" w:color="auto"/>
                <w:bottom w:val="none" w:sz="0" w:space="0" w:color="auto"/>
                <w:right w:val="none" w:sz="0" w:space="0" w:color="auto"/>
              </w:divBdr>
            </w:div>
            <w:div w:id="17309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80992">
      <w:bodyDiv w:val="1"/>
      <w:marLeft w:val="0"/>
      <w:marRight w:val="0"/>
      <w:marTop w:val="0"/>
      <w:marBottom w:val="0"/>
      <w:divBdr>
        <w:top w:val="none" w:sz="0" w:space="0" w:color="auto"/>
        <w:left w:val="none" w:sz="0" w:space="0" w:color="auto"/>
        <w:bottom w:val="none" w:sz="0" w:space="0" w:color="auto"/>
        <w:right w:val="none" w:sz="0" w:space="0" w:color="auto"/>
      </w:divBdr>
    </w:div>
    <w:div w:id="1324048371">
      <w:bodyDiv w:val="1"/>
      <w:marLeft w:val="0"/>
      <w:marRight w:val="0"/>
      <w:marTop w:val="0"/>
      <w:marBottom w:val="0"/>
      <w:divBdr>
        <w:top w:val="none" w:sz="0" w:space="0" w:color="auto"/>
        <w:left w:val="none" w:sz="0" w:space="0" w:color="auto"/>
        <w:bottom w:val="none" w:sz="0" w:space="0" w:color="auto"/>
        <w:right w:val="none" w:sz="0" w:space="0" w:color="auto"/>
      </w:divBdr>
      <w:divsChild>
        <w:div w:id="1645550202">
          <w:marLeft w:val="0"/>
          <w:marRight w:val="0"/>
          <w:marTop w:val="0"/>
          <w:marBottom w:val="0"/>
          <w:divBdr>
            <w:top w:val="none" w:sz="0" w:space="0" w:color="auto"/>
            <w:left w:val="none" w:sz="0" w:space="0" w:color="auto"/>
            <w:bottom w:val="none" w:sz="0" w:space="0" w:color="auto"/>
            <w:right w:val="none" w:sz="0" w:space="0" w:color="auto"/>
          </w:divBdr>
          <w:divsChild>
            <w:div w:id="153690283">
              <w:marLeft w:val="0"/>
              <w:marRight w:val="0"/>
              <w:marTop w:val="0"/>
              <w:marBottom w:val="0"/>
              <w:divBdr>
                <w:top w:val="none" w:sz="0" w:space="0" w:color="auto"/>
                <w:left w:val="none" w:sz="0" w:space="0" w:color="auto"/>
                <w:bottom w:val="none" w:sz="0" w:space="0" w:color="auto"/>
                <w:right w:val="none" w:sz="0" w:space="0" w:color="auto"/>
              </w:divBdr>
            </w:div>
            <w:div w:id="2121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695">
      <w:bodyDiv w:val="1"/>
      <w:marLeft w:val="0"/>
      <w:marRight w:val="0"/>
      <w:marTop w:val="0"/>
      <w:marBottom w:val="0"/>
      <w:divBdr>
        <w:top w:val="none" w:sz="0" w:space="0" w:color="auto"/>
        <w:left w:val="none" w:sz="0" w:space="0" w:color="auto"/>
        <w:bottom w:val="none" w:sz="0" w:space="0" w:color="auto"/>
        <w:right w:val="none" w:sz="0" w:space="0" w:color="auto"/>
      </w:divBdr>
      <w:divsChild>
        <w:div w:id="2143425990">
          <w:marLeft w:val="0"/>
          <w:marRight w:val="0"/>
          <w:marTop w:val="0"/>
          <w:marBottom w:val="0"/>
          <w:divBdr>
            <w:top w:val="none" w:sz="0" w:space="0" w:color="auto"/>
            <w:left w:val="none" w:sz="0" w:space="0" w:color="auto"/>
            <w:bottom w:val="none" w:sz="0" w:space="0" w:color="auto"/>
            <w:right w:val="none" w:sz="0" w:space="0" w:color="auto"/>
          </w:divBdr>
          <w:divsChild>
            <w:div w:id="599029782">
              <w:marLeft w:val="0"/>
              <w:marRight w:val="0"/>
              <w:marTop w:val="0"/>
              <w:marBottom w:val="0"/>
              <w:divBdr>
                <w:top w:val="none" w:sz="0" w:space="0" w:color="auto"/>
                <w:left w:val="none" w:sz="0" w:space="0" w:color="auto"/>
                <w:bottom w:val="none" w:sz="0" w:space="0" w:color="auto"/>
                <w:right w:val="none" w:sz="0" w:space="0" w:color="auto"/>
              </w:divBdr>
            </w:div>
            <w:div w:id="942224792">
              <w:marLeft w:val="0"/>
              <w:marRight w:val="0"/>
              <w:marTop w:val="0"/>
              <w:marBottom w:val="0"/>
              <w:divBdr>
                <w:top w:val="none" w:sz="0" w:space="0" w:color="auto"/>
                <w:left w:val="none" w:sz="0" w:space="0" w:color="auto"/>
                <w:bottom w:val="none" w:sz="0" w:space="0" w:color="auto"/>
                <w:right w:val="none" w:sz="0" w:space="0" w:color="auto"/>
              </w:divBdr>
            </w:div>
            <w:div w:id="1854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4451">
      <w:bodyDiv w:val="1"/>
      <w:marLeft w:val="0"/>
      <w:marRight w:val="0"/>
      <w:marTop w:val="0"/>
      <w:marBottom w:val="0"/>
      <w:divBdr>
        <w:top w:val="none" w:sz="0" w:space="0" w:color="auto"/>
        <w:left w:val="none" w:sz="0" w:space="0" w:color="auto"/>
        <w:bottom w:val="none" w:sz="0" w:space="0" w:color="auto"/>
        <w:right w:val="none" w:sz="0" w:space="0" w:color="auto"/>
      </w:divBdr>
      <w:divsChild>
        <w:div w:id="1617176364">
          <w:marLeft w:val="0"/>
          <w:marRight w:val="0"/>
          <w:marTop w:val="0"/>
          <w:marBottom w:val="0"/>
          <w:divBdr>
            <w:top w:val="none" w:sz="0" w:space="0" w:color="auto"/>
            <w:left w:val="none" w:sz="0" w:space="0" w:color="auto"/>
            <w:bottom w:val="none" w:sz="0" w:space="0" w:color="auto"/>
            <w:right w:val="none" w:sz="0" w:space="0" w:color="auto"/>
          </w:divBdr>
          <w:divsChild>
            <w:div w:id="38434318">
              <w:marLeft w:val="0"/>
              <w:marRight w:val="0"/>
              <w:marTop w:val="0"/>
              <w:marBottom w:val="0"/>
              <w:divBdr>
                <w:top w:val="none" w:sz="0" w:space="0" w:color="auto"/>
                <w:left w:val="none" w:sz="0" w:space="0" w:color="auto"/>
                <w:bottom w:val="none" w:sz="0" w:space="0" w:color="auto"/>
                <w:right w:val="none" w:sz="0" w:space="0" w:color="auto"/>
              </w:divBdr>
            </w:div>
            <w:div w:id="600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498">
      <w:bodyDiv w:val="1"/>
      <w:marLeft w:val="0"/>
      <w:marRight w:val="0"/>
      <w:marTop w:val="0"/>
      <w:marBottom w:val="0"/>
      <w:divBdr>
        <w:top w:val="none" w:sz="0" w:space="0" w:color="auto"/>
        <w:left w:val="none" w:sz="0" w:space="0" w:color="auto"/>
        <w:bottom w:val="none" w:sz="0" w:space="0" w:color="auto"/>
        <w:right w:val="none" w:sz="0" w:space="0" w:color="auto"/>
      </w:divBdr>
      <w:divsChild>
        <w:div w:id="267465377">
          <w:marLeft w:val="0"/>
          <w:marRight w:val="0"/>
          <w:marTop w:val="0"/>
          <w:marBottom w:val="0"/>
          <w:divBdr>
            <w:top w:val="none" w:sz="0" w:space="0" w:color="auto"/>
            <w:left w:val="none" w:sz="0" w:space="0" w:color="auto"/>
            <w:bottom w:val="none" w:sz="0" w:space="0" w:color="auto"/>
            <w:right w:val="none" w:sz="0" w:space="0" w:color="auto"/>
          </w:divBdr>
        </w:div>
      </w:divsChild>
    </w:div>
    <w:div w:id="1666006612">
      <w:bodyDiv w:val="1"/>
      <w:marLeft w:val="0"/>
      <w:marRight w:val="0"/>
      <w:marTop w:val="0"/>
      <w:marBottom w:val="0"/>
      <w:divBdr>
        <w:top w:val="none" w:sz="0" w:space="0" w:color="auto"/>
        <w:left w:val="none" w:sz="0" w:space="0" w:color="auto"/>
        <w:bottom w:val="none" w:sz="0" w:space="0" w:color="auto"/>
        <w:right w:val="none" w:sz="0" w:space="0" w:color="auto"/>
      </w:divBdr>
      <w:divsChild>
        <w:div w:id="1221474424">
          <w:marLeft w:val="0"/>
          <w:marRight w:val="0"/>
          <w:marTop w:val="0"/>
          <w:marBottom w:val="0"/>
          <w:divBdr>
            <w:top w:val="none" w:sz="0" w:space="0" w:color="auto"/>
            <w:left w:val="none" w:sz="0" w:space="0" w:color="auto"/>
            <w:bottom w:val="none" w:sz="0" w:space="0" w:color="auto"/>
            <w:right w:val="none" w:sz="0" w:space="0" w:color="auto"/>
          </w:divBdr>
          <w:divsChild>
            <w:div w:id="14964480">
              <w:marLeft w:val="0"/>
              <w:marRight w:val="0"/>
              <w:marTop w:val="0"/>
              <w:marBottom w:val="0"/>
              <w:divBdr>
                <w:top w:val="none" w:sz="0" w:space="0" w:color="auto"/>
                <w:left w:val="none" w:sz="0" w:space="0" w:color="auto"/>
                <w:bottom w:val="none" w:sz="0" w:space="0" w:color="auto"/>
                <w:right w:val="none" w:sz="0" w:space="0" w:color="auto"/>
              </w:divBdr>
            </w:div>
            <w:div w:id="163253527">
              <w:marLeft w:val="0"/>
              <w:marRight w:val="0"/>
              <w:marTop w:val="0"/>
              <w:marBottom w:val="0"/>
              <w:divBdr>
                <w:top w:val="none" w:sz="0" w:space="0" w:color="auto"/>
                <w:left w:val="none" w:sz="0" w:space="0" w:color="auto"/>
                <w:bottom w:val="none" w:sz="0" w:space="0" w:color="auto"/>
                <w:right w:val="none" w:sz="0" w:space="0" w:color="auto"/>
              </w:divBdr>
            </w:div>
            <w:div w:id="787167135">
              <w:marLeft w:val="0"/>
              <w:marRight w:val="0"/>
              <w:marTop w:val="0"/>
              <w:marBottom w:val="0"/>
              <w:divBdr>
                <w:top w:val="none" w:sz="0" w:space="0" w:color="auto"/>
                <w:left w:val="none" w:sz="0" w:space="0" w:color="auto"/>
                <w:bottom w:val="none" w:sz="0" w:space="0" w:color="auto"/>
                <w:right w:val="none" w:sz="0" w:space="0" w:color="auto"/>
              </w:divBdr>
            </w:div>
            <w:div w:id="901019059">
              <w:marLeft w:val="0"/>
              <w:marRight w:val="0"/>
              <w:marTop w:val="0"/>
              <w:marBottom w:val="0"/>
              <w:divBdr>
                <w:top w:val="none" w:sz="0" w:space="0" w:color="auto"/>
                <w:left w:val="none" w:sz="0" w:space="0" w:color="auto"/>
                <w:bottom w:val="none" w:sz="0" w:space="0" w:color="auto"/>
                <w:right w:val="none" w:sz="0" w:space="0" w:color="auto"/>
              </w:divBdr>
            </w:div>
            <w:div w:id="1790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5695">
      <w:bodyDiv w:val="1"/>
      <w:marLeft w:val="0"/>
      <w:marRight w:val="0"/>
      <w:marTop w:val="0"/>
      <w:marBottom w:val="0"/>
      <w:divBdr>
        <w:top w:val="none" w:sz="0" w:space="0" w:color="auto"/>
        <w:left w:val="none" w:sz="0" w:space="0" w:color="auto"/>
        <w:bottom w:val="none" w:sz="0" w:space="0" w:color="auto"/>
        <w:right w:val="none" w:sz="0" w:space="0" w:color="auto"/>
      </w:divBdr>
      <w:divsChild>
        <w:div w:id="977031927">
          <w:marLeft w:val="0"/>
          <w:marRight w:val="0"/>
          <w:marTop w:val="0"/>
          <w:marBottom w:val="0"/>
          <w:divBdr>
            <w:top w:val="none" w:sz="0" w:space="0" w:color="auto"/>
            <w:left w:val="none" w:sz="0" w:space="0" w:color="auto"/>
            <w:bottom w:val="none" w:sz="0" w:space="0" w:color="auto"/>
            <w:right w:val="none" w:sz="0" w:space="0" w:color="auto"/>
          </w:divBdr>
          <w:divsChild>
            <w:div w:id="125514783">
              <w:marLeft w:val="0"/>
              <w:marRight w:val="0"/>
              <w:marTop w:val="0"/>
              <w:marBottom w:val="0"/>
              <w:divBdr>
                <w:top w:val="none" w:sz="0" w:space="0" w:color="auto"/>
                <w:left w:val="none" w:sz="0" w:space="0" w:color="auto"/>
                <w:bottom w:val="none" w:sz="0" w:space="0" w:color="auto"/>
                <w:right w:val="none" w:sz="0" w:space="0" w:color="auto"/>
              </w:divBdr>
            </w:div>
            <w:div w:id="237709933">
              <w:marLeft w:val="0"/>
              <w:marRight w:val="0"/>
              <w:marTop w:val="0"/>
              <w:marBottom w:val="0"/>
              <w:divBdr>
                <w:top w:val="none" w:sz="0" w:space="0" w:color="auto"/>
                <w:left w:val="none" w:sz="0" w:space="0" w:color="auto"/>
                <w:bottom w:val="none" w:sz="0" w:space="0" w:color="auto"/>
                <w:right w:val="none" w:sz="0" w:space="0" w:color="auto"/>
              </w:divBdr>
            </w:div>
            <w:div w:id="803036773">
              <w:marLeft w:val="0"/>
              <w:marRight w:val="0"/>
              <w:marTop w:val="0"/>
              <w:marBottom w:val="0"/>
              <w:divBdr>
                <w:top w:val="none" w:sz="0" w:space="0" w:color="auto"/>
                <w:left w:val="none" w:sz="0" w:space="0" w:color="auto"/>
                <w:bottom w:val="none" w:sz="0" w:space="0" w:color="auto"/>
                <w:right w:val="none" w:sz="0" w:space="0" w:color="auto"/>
              </w:divBdr>
            </w:div>
            <w:div w:id="812451504">
              <w:marLeft w:val="0"/>
              <w:marRight w:val="0"/>
              <w:marTop w:val="0"/>
              <w:marBottom w:val="0"/>
              <w:divBdr>
                <w:top w:val="none" w:sz="0" w:space="0" w:color="auto"/>
                <w:left w:val="none" w:sz="0" w:space="0" w:color="auto"/>
                <w:bottom w:val="none" w:sz="0" w:space="0" w:color="auto"/>
                <w:right w:val="none" w:sz="0" w:space="0" w:color="auto"/>
              </w:divBdr>
            </w:div>
            <w:div w:id="1718624166">
              <w:marLeft w:val="0"/>
              <w:marRight w:val="0"/>
              <w:marTop w:val="0"/>
              <w:marBottom w:val="0"/>
              <w:divBdr>
                <w:top w:val="none" w:sz="0" w:space="0" w:color="auto"/>
                <w:left w:val="none" w:sz="0" w:space="0" w:color="auto"/>
                <w:bottom w:val="none" w:sz="0" w:space="0" w:color="auto"/>
                <w:right w:val="none" w:sz="0" w:space="0" w:color="auto"/>
              </w:divBdr>
            </w:div>
            <w:div w:id="19354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3590">
      <w:bodyDiv w:val="1"/>
      <w:marLeft w:val="0"/>
      <w:marRight w:val="0"/>
      <w:marTop w:val="0"/>
      <w:marBottom w:val="0"/>
      <w:divBdr>
        <w:top w:val="none" w:sz="0" w:space="0" w:color="auto"/>
        <w:left w:val="none" w:sz="0" w:space="0" w:color="auto"/>
        <w:bottom w:val="none" w:sz="0" w:space="0" w:color="auto"/>
        <w:right w:val="none" w:sz="0" w:space="0" w:color="auto"/>
      </w:divBdr>
      <w:divsChild>
        <w:div w:id="548036290">
          <w:marLeft w:val="0"/>
          <w:marRight w:val="0"/>
          <w:marTop w:val="0"/>
          <w:marBottom w:val="0"/>
          <w:divBdr>
            <w:top w:val="none" w:sz="0" w:space="0" w:color="auto"/>
            <w:left w:val="none" w:sz="0" w:space="0" w:color="auto"/>
            <w:bottom w:val="none" w:sz="0" w:space="0" w:color="auto"/>
            <w:right w:val="none" w:sz="0" w:space="0" w:color="auto"/>
          </w:divBdr>
        </w:div>
      </w:divsChild>
    </w:div>
    <w:div w:id="1821460816">
      <w:bodyDiv w:val="1"/>
      <w:marLeft w:val="0"/>
      <w:marRight w:val="0"/>
      <w:marTop w:val="0"/>
      <w:marBottom w:val="0"/>
      <w:divBdr>
        <w:top w:val="none" w:sz="0" w:space="0" w:color="auto"/>
        <w:left w:val="none" w:sz="0" w:space="0" w:color="auto"/>
        <w:bottom w:val="none" w:sz="0" w:space="0" w:color="auto"/>
        <w:right w:val="none" w:sz="0" w:space="0" w:color="auto"/>
      </w:divBdr>
    </w:div>
    <w:div w:id="1838374815">
      <w:bodyDiv w:val="1"/>
      <w:marLeft w:val="0"/>
      <w:marRight w:val="0"/>
      <w:marTop w:val="0"/>
      <w:marBottom w:val="0"/>
      <w:divBdr>
        <w:top w:val="none" w:sz="0" w:space="0" w:color="auto"/>
        <w:left w:val="none" w:sz="0" w:space="0" w:color="auto"/>
        <w:bottom w:val="none" w:sz="0" w:space="0" w:color="auto"/>
        <w:right w:val="none" w:sz="0" w:space="0" w:color="auto"/>
      </w:divBdr>
    </w:div>
    <w:div w:id="1889681553">
      <w:bodyDiv w:val="1"/>
      <w:marLeft w:val="0"/>
      <w:marRight w:val="0"/>
      <w:marTop w:val="0"/>
      <w:marBottom w:val="0"/>
      <w:divBdr>
        <w:top w:val="none" w:sz="0" w:space="0" w:color="auto"/>
        <w:left w:val="none" w:sz="0" w:space="0" w:color="auto"/>
        <w:bottom w:val="none" w:sz="0" w:space="0" w:color="auto"/>
        <w:right w:val="none" w:sz="0" w:space="0" w:color="auto"/>
      </w:divBdr>
    </w:div>
    <w:div w:id="20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273052307">
          <w:marLeft w:val="0"/>
          <w:marRight w:val="0"/>
          <w:marTop w:val="0"/>
          <w:marBottom w:val="0"/>
          <w:divBdr>
            <w:top w:val="none" w:sz="0" w:space="0" w:color="auto"/>
            <w:left w:val="none" w:sz="0" w:space="0" w:color="auto"/>
            <w:bottom w:val="none" w:sz="0" w:space="0" w:color="auto"/>
            <w:right w:val="none" w:sz="0" w:space="0" w:color="auto"/>
          </w:divBdr>
        </w:div>
      </w:divsChild>
    </w:div>
    <w:div w:id="2028823073">
      <w:bodyDiv w:val="1"/>
      <w:marLeft w:val="0"/>
      <w:marRight w:val="0"/>
      <w:marTop w:val="0"/>
      <w:marBottom w:val="0"/>
      <w:divBdr>
        <w:top w:val="none" w:sz="0" w:space="0" w:color="auto"/>
        <w:left w:val="none" w:sz="0" w:space="0" w:color="auto"/>
        <w:bottom w:val="none" w:sz="0" w:space="0" w:color="auto"/>
        <w:right w:val="none" w:sz="0" w:space="0" w:color="auto"/>
      </w:divBdr>
      <w:divsChild>
        <w:div w:id="30069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sk.edhec.edu/publications/factor-investing-sovereign-bond-markets-time-series-perspective" TargetMode="External"/><Relationship Id="rId18" Type="http://schemas.openxmlformats.org/officeDocument/2006/relationships/hyperlink" Target="https://risk.edhec.edu" TargetMode="External"/><Relationship Id="rId3" Type="http://schemas.openxmlformats.org/officeDocument/2006/relationships/styles" Target="styles.xml"/><Relationship Id="rId21" Type="http://schemas.openxmlformats.org/officeDocument/2006/relationships/hyperlink" Target="https://risk.edhec.edu/edhec-risk-investment-solutions" TargetMode="External"/><Relationship Id="rId7" Type="http://schemas.openxmlformats.org/officeDocument/2006/relationships/endnotes" Target="endnotes.xml"/><Relationship Id="rId12" Type="http://schemas.openxmlformats.org/officeDocument/2006/relationships/hyperlink" Target="https://risk.edhec.edu/sites/risk/files/indices/Indices/Publications/Factor-Investing-in-Fixed-Income-Cross-Sectional-and-Times-Series-Momentum-in-Sovereign-Bond-Markets.pdf" TargetMode="External"/><Relationship Id="rId17" Type="http://schemas.openxmlformats.org/officeDocument/2006/relationships/hyperlink" Target="http://www.edhec-risk.com" TargetMode="External"/><Relationship Id="rId2" Type="http://schemas.openxmlformats.org/officeDocument/2006/relationships/numbering" Target="numbering.xml"/><Relationship Id="rId16" Type="http://schemas.openxmlformats.org/officeDocument/2006/relationships/hyperlink" Target="mailto:maud.gauchon@edhec-risk.com" TargetMode="External"/><Relationship Id="rId20" Type="http://schemas.openxmlformats.org/officeDocument/2006/relationships/hyperlink" Target="https://risk.edhec.edu/bond-risk-premium-moni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sk.edhec.edu/sites/risk/files/indices/Indices/Publications/Factor-Investing-in-Fixed-Income-Defining-and-Exploiting-Value-In-Sovereign-Bond-Marke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risk.edhec.edu/sites/risk/files/indices/Indices/Publications/Factor-Investing-in-Fixed-Income-Cross-Sectional-and-Times-Series-Momentum-in-Sovereign-Bond-Markets.pdf" TargetMode="External"/><Relationship Id="rId19" Type="http://schemas.openxmlformats.org/officeDocument/2006/relationships/hyperlink" Target="https://risk.edhec.edu/indices-investment-solutions" TargetMode="External"/><Relationship Id="rId4" Type="http://schemas.openxmlformats.org/officeDocument/2006/relationships/settings" Target="settings.xml"/><Relationship Id="rId9" Type="http://schemas.openxmlformats.org/officeDocument/2006/relationships/hyperlink" Target="http://risk.edhec.edu/sites/risk/files/indices/Indices/Publications/Factor-Investing-in-Fixed-Income-Defining-and-Exploiting-Value-In-Sovereign-Bond-Market.pdf" TargetMode="External"/><Relationship Id="rId14" Type="http://schemas.openxmlformats.org/officeDocument/2006/relationships/image" Target="media/image2.jpeg"/><Relationship Id="rId22" Type="http://schemas.openxmlformats.org/officeDocument/2006/relationships/hyperlink" Target="http://www.amun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4C5E-0114-47A9-BFDD-BDC1B7EA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9579</Characters>
  <Application>Microsoft Office Word</Application>
  <DocSecurity>0</DocSecurity>
  <Lines>79</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EDHEC-Risk</vt:lpstr>
      <vt:lpstr>Press Release EDHEC-Risk</vt:lpstr>
    </vt:vector>
  </TitlesOfParts>
  <Company>misys</Company>
  <LinksUpToDate>false</LinksUpToDate>
  <CharactersWithSpaces>10968</CharactersWithSpaces>
  <SharedDoc>false</SharedDoc>
  <HLinks>
    <vt:vector size="36" baseType="variant">
      <vt:variant>
        <vt:i4>2752624</vt:i4>
      </vt:variant>
      <vt:variant>
        <vt:i4>15</vt:i4>
      </vt:variant>
      <vt:variant>
        <vt:i4>0</vt:i4>
      </vt:variant>
      <vt:variant>
        <vt:i4>5</vt:i4>
      </vt:variant>
      <vt:variant>
        <vt:lpwstr>http://www.edhec-risk.com/</vt:lpwstr>
      </vt:variant>
      <vt:variant>
        <vt:lpwstr/>
      </vt:variant>
      <vt:variant>
        <vt:i4>2752624</vt:i4>
      </vt:variant>
      <vt:variant>
        <vt:i4>12</vt:i4>
      </vt:variant>
      <vt:variant>
        <vt:i4>0</vt:i4>
      </vt:variant>
      <vt:variant>
        <vt:i4>5</vt:i4>
      </vt:variant>
      <vt:variant>
        <vt:lpwstr>http://www.edhec-risk.com/</vt:lpwstr>
      </vt:variant>
      <vt:variant>
        <vt:lpwstr/>
      </vt:variant>
      <vt:variant>
        <vt:i4>2752624</vt:i4>
      </vt:variant>
      <vt:variant>
        <vt:i4>9</vt:i4>
      </vt:variant>
      <vt:variant>
        <vt:i4>0</vt:i4>
      </vt:variant>
      <vt:variant>
        <vt:i4>5</vt:i4>
      </vt:variant>
      <vt:variant>
        <vt:lpwstr>http://www.edhec-risk.com/</vt:lpwstr>
      </vt:variant>
      <vt:variant>
        <vt:lpwstr/>
      </vt:variant>
      <vt:variant>
        <vt:i4>2293760</vt:i4>
      </vt:variant>
      <vt:variant>
        <vt:i4>6</vt:i4>
      </vt:variant>
      <vt:variant>
        <vt:i4>0</vt:i4>
      </vt:variant>
      <vt:variant>
        <vt:i4>5</vt:i4>
      </vt:variant>
      <vt:variant>
        <vt:lpwstr>mailto:severine.anjubault@edhec-risk.com</vt:lpwstr>
      </vt:variant>
      <vt:variant>
        <vt:lpwstr/>
      </vt:variant>
      <vt:variant>
        <vt:i4>3342408</vt:i4>
      </vt:variant>
      <vt:variant>
        <vt:i4>3</vt:i4>
      </vt:variant>
      <vt:variant>
        <vt:i4>0</vt:i4>
      </vt:variant>
      <vt:variant>
        <vt:i4>5</vt:i4>
      </vt:variant>
      <vt:variant>
        <vt:lpwstr>http://docs.edhec-risk.com/mrk/000000/Press/EDHEC_Publication_Response_EC_White_Paper_Pensions_F.pdf</vt:lpwstr>
      </vt:variant>
      <vt:variant>
        <vt:lpwstr/>
      </vt:variant>
      <vt:variant>
        <vt:i4>4128849</vt:i4>
      </vt:variant>
      <vt:variant>
        <vt:i4>0</vt:i4>
      </vt:variant>
      <vt:variant>
        <vt:i4>0</vt:i4>
      </vt:variant>
      <vt:variant>
        <vt:i4>5</vt:i4>
      </vt:variant>
      <vt:variant>
        <vt:lpwstr>http://docs.edhec-risk.com/mrk/000000/Press/Letter_L_Andor_EC_White_Paper_Pensions_031012.pdf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EDHEC-Risk</dc:title>
  <dc:creator>GAUCHON Maud</dc:creator>
  <cp:lastModifiedBy>GAUCHON Maud</cp:lastModifiedBy>
  <cp:revision>3</cp:revision>
  <cp:lastPrinted>2019-06-20T14:33:00Z</cp:lastPrinted>
  <dcterms:created xsi:type="dcterms:W3CDTF">2019-06-21T13:03:00Z</dcterms:created>
  <dcterms:modified xsi:type="dcterms:W3CDTF">2019-06-21T13:04:00Z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2772019</vt:i4>
  </property>
  <property fmtid="{D5CDD505-2E9C-101B-9397-08002B2CF9AE}" pid="4" name="_EmailSubject">
    <vt:lpwstr>Communiqué de presse papiers Value et Momentum</vt:lpwstr>
  </property>
  <property fmtid="{D5CDD505-2E9C-101B-9397-08002B2CF9AE}" pid="5" name="_AuthorEmail">
    <vt:lpwstr>mariacecilia.mottamarchesini@amundi.com</vt:lpwstr>
  </property>
  <property fmtid="{D5CDD505-2E9C-101B-9397-08002B2CF9AE}" pid="6" name="_AuthorEmailDisplayName">
    <vt:lpwstr>Motta Marchesini Maria Cecilia (AMUNDI)</vt:lpwstr>
  </property>
  <property fmtid="{D5CDD505-2E9C-101B-9397-08002B2CF9AE}" pid="7" name="_ReviewingToolsShownOnce">
    <vt:lpwstr/>
  </property>
</Properties>
</file>