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391C1" w14:textId="0CA484EA" w:rsidR="00DA1099" w:rsidRPr="008573A0" w:rsidRDefault="00294531" w:rsidP="001D69E2">
      <w:pPr>
        <w:pStyle w:val="En-tte"/>
        <w:tabs>
          <w:tab w:val="clear" w:pos="4536"/>
          <w:tab w:val="clear" w:pos="9072"/>
        </w:tabs>
        <w:jc w:val="center"/>
        <w:rPr>
          <w:b/>
          <w:sz w:val="32"/>
        </w:rPr>
      </w:pPr>
      <w:bookmarkStart w:id="0" w:name="_GoBack"/>
      <w:bookmarkEnd w:id="0"/>
      <w:r>
        <w:rPr>
          <w:b/>
          <w:noProof/>
          <w:sz w:val="32"/>
          <w:lang w:val="fr-FR"/>
        </w:rPr>
        <w:drawing>
          <wp:anchor distT="0" distB="0" distL="114300" distR="114300" simplePos="0" relativeHeight="251661312" behindDoc="0" locked="0" layoutInCell="1" allowOverlap="1" wp14:anchorId="1E8BAD52" wp14:editId="7B850E02">
            <wp:simplePos x="0" y="0"/>
            <wp:positionH relativeFrom="margin">
              <wp:align>right</wp:align>
            </wp:positionH>
            <wp:positionV relativeFrom="paragraph">
              <wp:posOffset>0</wp:posOffset>
            </wp:positionV>
            <wp:extent cx="2162175" cy="1056005"/>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1056005"/>
                    </a:xfrm>
                    <a:prstGeom prst="rect">
                      <a:avLst/>
                    </a:prstGeom>
                  </pic:spPr>
                </pic:pic>
              </a:graphicData>
            </a:graphic>
            <wp14:sizeRelH relativeFrom="margin">
              <wp14:pctWidth>0</wp14:pctWidth>
            </wp14:sizeRelH>
            <wp14:sizeRelV relativeFrom="margin">
              <wp14:pctHeight>0</wp14:pctHeight>
            </wp14:sizeRelV>
          </wp:anchor>
        </w:drawing>
      </w:r>
      <w:r w:rsidR="006C3796" w:rsidRPr="008573A0">
        <w:rPr>
          <w:b/>
          <w:noProof/>
          <w:sz w:val="32"/>
          <w:lang w:val="fr-FR"/>
        </w:rPr>
        <w:drawing>
          <wp:anchor distT="0" distB="0" distL="114300" distR="114300" simplePos="0" relativeHeight="251660288" behindDoc="0" locked="0" layoutInCell="1" allowOverlap="1" wp14:anchorId="01B0AC95" wp14:editId="6333D906">
            <wp:simplePos x="0" y="0"/>
            <wp:positionH relativeFrom="column">
              <wp:posOffset>-119380</wp:posOffset>
            </wp:positionH>
            <wp:positionV relativeFrom="paragraph">
              <wp:posOffset>0</wp:posOffset>
            </wp:positionV>
            <wp:extent cx="2238375" cy="866775"/>
            <wp:effectExtent l="0" t="0" r="9525" b="9525"/>
            <wp:wrapTopAndBottom/>
            <wp:docPr id="1" name="Picture 1" descr="EDHEC-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HEC-Logo-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375" cy="866775"/>
                    </a:xfrm>
                    <a:prstGeom prst="rect">
                      <a:avLst/>
                    </a:prstGeom>
                    <a:noFill/>
                    <a:ln w="9525">
                      <a:noFill/>
                      <a:miter lim="800000"/>
                      <a:headEnd/>
                      <a:tailEnd/>
                    </a:ln>
                  </pic:spPr>
                </pic:pic>
              </a:graphicData>
            </a:graphic>
          </wp:anchor>
        </w:drawing>
      </w:r>
    </w:p>
    <w:p w14:paraId="0C9B5E80" w14:textId="77777777" w:rsidR="006D0FE2" w:rsidRPr="008573A0" w:rsidRDefault="006D0FE2" w:rsidP="006D0FE2">
      <w:pPr>
        <w:jc w:val="center"/>
        <w:outlineLvl w:val="0"/>
        <w:rPr>
          <w:iCs/>
        </w:rPr>
      </w:pPr>
    </w:p>
    <w:p w14:paraId="3F850F9E" w14:textId="77777777" w:rsidR="002D4270" w:rsidRPr="008573A0" w:rsidRDefault="002D4270" w:rsidP="0006559F">
      <w:pPr>
        <w:pStyle w:val="En-tte"/>
        <w:tabs>
          <w:tab w:val="clear" w:pos="4536"/>
          <w:tab w:val="clear" w:pos="9072"/>
          <w:tab w:val="right" w:pos="9000"/>
        </w:tabs>
        <w:rPr>
          <w:b/>
          <w:bCs/>
          <w:sz w:val="24"/>
          <w:szCs w:val="24"/>
        </w:rPr>
      </w:pPr>
    </w:p>
    <w:p w14:paraId="6EB5064C" w14:textId="01DC875A" w:rsidR="00CA7954" w:rsidRPr="006813D0" w:rsidRDefault="00DF7455" w:rsidP="0006559F">
      <w:pPr>
        <w:pStyle w:val="En-tte"/>
        <w:tabs>
          <w:tab w:val="clear" w:pos="4536"/>
          <w:tab w:val="clear" w:pos="9072"/>
          <w:tab w:val="right" w:pos="9000"/>
        </w:tabs>
        <w:rPr>
          <w:b/>
          <w:snapToGrid w:val="0"/>
          <w:color w:val="000000"/>
          <w:sz w:val="24"/>
          <w:lang w:val="fr-FR"/>
        </w:rPr>
      </w:pPr>
      <w:r w:rsidRPr="008B72A6">
        <w:rPr>
          <w:b/>
          <w:bCs/>
          <w:sz w:val="24"/>
          <w:szCs w:val="24"/>
          <w:lang w:val="fr-FR"/>
        </w:rPr>
        <w:t>Communiqué de presse</w:t>
      </w:r>
      <w:r w:rsidRPr="008B72A6">
        <w:rPr>
          <w:b/>
          <w:bCs/>
          <w:sz w:val="24"/>
          <w:szCs w:val="24"/>
          <w:lang w:val="fr-FR"/>
        </w:rPr>
        <w:tab/>
      </w:r>
      <w:r w:rsidRPr="008B72A6">
        <w:rPr>
          <w:b/>
          <w:snapToGrid w:val="0"/>
          <w:color w:val="000000"/>
          <w:sz w:val="24"/>
          <w:lang w:val="fr-FR"/>
        </w:rPr>
        <w:t xml:space="preserve">Nice, Londres, Paris, le </w:t>
      </w:r>
      <w:r w:rsidR="00A970CD" w:rsidRPr="008B72A6">
        <w:rPr>
          <w:b/>
          <w:snapToGrid w:val="0"/>
          <w:color w:val="000000"/>
          <w:sz w:val="24"/>
          <w:lang w:val="fr-FR"/>
        </w:rPr>
        <w:t>28</w:t>
      </w:r>
      <w:r w:rsidR="002378D7" w:rsidRPr="008B72A6">
        <w:rPr>
          <w:b/>
          <w:snapToGrid w:val="0"/>
          <w:color w:val="000000"/>
          <w:sz w:val="24"/>
          <w:lang w:val="fr-FR"/>
        </w:rPr>
        <w:t xml:space="preserve"> juin </w:t>
      </w:r>
      <w:r w:rsidR="00BE2632" w:rsidRPr="008B72A6">
        <w:rPr>
          <w:b/>
          <w:snapToGrid w:val="0"/>
          <w:color w:val="000000"/>
          <w:sz w:val="24"/>
          <w:lang w:val="fr-FR"/>
        </w:rPr>
        <w:t>20</w:t>
      </w:r>
      <w:r w:rsidR="001F5E8D" w:rsidRPr="008B72A6">
        <w:rPr>
          <w:b/>
          <w:snapToGrid w:val="0"/>
          <w:color w:val="000000"/>
          <w:sz w:val="24"/>
          <w:lang w:val="fr-FR"/>
        </w:rPr>
        <w:t>21</w:t>
      </w:r>
    </w:p>
    <w:p w14:paraId="31BF9303" w14:textId="77777777" w:rsidR="006349B3" w:rsidRPr="006813D0" w:rsidRDefault="006349B3" w:rsidP="00DA4522">
      <w:pPr>
        <w:spacing w:before="120"/>
        <w:jc w:val="center"/>
        <w:outlineLvl w:val="0"/>
        <w:rPr>
          <w:iCs/>
          <w:lang w:val="fr-FR"/>
        </w:rPr>
      </w:pPr>
    </w:p>
    <w:p w14:paraId="1D77A83E" w14:textId="77777777" w:rsidR="00F0558F" w:rsidRPr="006813D0" w:rsidRDefault="00F0558F" w:rsidP="00280127">
      <w:pPr>
        <w:autoSpaceDE w:val="0"/>
        <w:autoSpaceDN w:val="0"/>
        <w:adjustRightInd w:val="0"/>
        <w:jc w:val="center"/>
        <w:rPr>
          <w:b/>
          <w:iCs/>
          <w:sz w:val="32"/>
          <w:szCs w:val="32"/>
          <w:lang w:val="fr-FR"/>
        </w:rPr>
      </w:pPr>
    </w:p>
    <w:p w14:paraId="7D3F1343" w14:textId="77D2DB5C" w:rsidR="006E6083" w:rsidRDefault="006E6083" w:rsidP="002B7883">
      <w:pPr>
        <w:jc w:val="center"/>
        <w:rPr>
          <w:b/>
          <w:iCs/>
          <w:sz w:val="32"/>
          <w:szCs w:val="32"/>
          <w:lang w:val="fr-FR"/>
        </w:rPr>
      </w:pPr>
    </w:p>
    <w:p w14:paraId="0738F575" w14:textId="4AF5D39F" w:rsidR="006E6083" w:rsidRPr="00371974" w:rsidRDefault="006E6083" w:rsidP="002B7883">
      <w:pPr>
        <w:jc w:val="center"/>
        <w:rPr>
          <w:b/>
          <w:iCs/>
          <w:sz w:val="32"/>
          <w:szCs w:val="32"/>
          <w:lang w:val="fr-FR"/>
        </w:rPr>
      </w:pPr>
      <w:r w:rsidRPr="006E6083">
        <w:rPr>
          <w:b/>
          <w:iCs/>
          <w:sz w:val="32"/>
          <w:szCs w:val="32"/>
          <w:lang w:val="fr-FR"/>
        </w:rPr>
        <w:t xml:space="preserve">Une nouvelle étude </w:t>
      </w:r>
      <w:r w:rsidR="005E2200" w:rsidRPr="003335D6">
        <w:rPr>
          <w:b/>
          <w:iCs/>
          <w:sz w:val="32"/>
          <w:szCs w:val="32"/>
          <w:lang w:val="fr-FR"/>
        </w:rPr>
        <w:t>démontre</w:t>
      </w:r>
      <w:r w:rsidR="005E2200">
        <w:rPr>
          <w:b/>
          <w:iCs/>
          <w:sz w:val="32"/>
          <w:szCs w:val="32"/>
          <w:lang w:val="fr-FR"/>
        </w:rPr>
        <w:t xml:space="preserve"> </w:t>
      </w:r>
      <w:r w:rsidRPr="006E6083">
        <w:rPr>
          <w:b/>
          <w:iCs/>
          <w:sz w:val="32"/>
          <w:szCs w:val="32"/>
          <w:lang w:val="fr-FR"/>
        </w:rPr>
        <w:t xml:space="preserve">que 10 SCPI suffisent </w:t>
      </w:r>
      <w:r w:rsidR="005E2200" w:rsidRPr="003335D6">
        <w:rPr>
          <w:b/>
          <w:iCs/>
          <w:sz w:val="32"/>
          <w:szCs w:val="32"/>
          <w:lang w:val="fr-FR"/>
        </w:rPr>
        <w:t>pour capter</w:t>
      </w:r>
      <w:r w:rsidRPr="006E6083">
        <w:rPr>
          <w:b/>
          <w:iCs/>
          <w:sz w:val="32"/>
          <w:szCs w:val="32"/>
          <w:lang w:val="fr-FR"/>
        </w:rPr>
        <w:t xml:space="preserve"> 88% des bénéfices de la diversification</w:t>
      </w:r>
    </w:p>
    <w:p w14:paraId="4243F7BF" w14:textId="77777777" w:rsidR="002B7883" w:rsidRPr="00371974" w:rsidRDefault="002B7883" w:rsidP="00BD010F">
      <w:pPr>
        <w:autoSpaceDE w:val="0"/>
        <w:autoSpaceDN w:val="0"/>
        <w:adjustRightInd w:val="0"/>
        <w:jc w:val="center"/>
        <w:rPr>
          <w:b/>
          <w:iCs/>
          <w:sz w:val="32"/>
          <w:szCs w:val="32"/>
          <w:lang w:val="fr-FR"/>
        </w:rPr>
      </w:pPr>
    </w:p>
    <w:p w14:paraId="60BECF9E" w14:textId="77777777" w:rsidR="00D631EA" w:rsidRPr="00371974" w:rsidRDefault="00D631EA" w:rsidP="007F10A3">
      <w:pPr>
        <w:autoSpaceDE w:val="0"/>
        <w:autoSpaceDN w:val="0"/>
        <w:adjustRightInd w:val="0"/>
        <w:jc w:val="both"/>
        <w:rPr>
          <w:rFonts w:cs="Arial"/>
          <w:szCs w:val="22"/>
          <w:lang w:val="fr-FR"/>
        </w:rPr>
      </w:pPr>
    </w:p>
    <w:p w14:paraId="7F96AF7F" w14:textId="3BA1E00B" w:rsidR="00510B9B" w:rsidRPr="00371974" w:rsidRDefault="00B32C3C" w:rsidP="00AC39F0">
      <w:pPr>
        <w:spacing w:line="280" w:lineRule="atLeast"/>
        <w:jc w:val="both"/>
        <w:rPr>
          <w:rFonts w:cstheme="minorHAnsi"/>
          <w:szCs w:val="22"/>
          <w:lang w:val="fr-FR"/>
        </w:rPr>
      </w:pPr>
      <w:r w:rsidRPr="00371974">
        <w:rPr>
          <w:rFonts w:cstheme="minorHAnsi"/>
          <w:szCs w:val="22"/>
          <w:lang w:val="fr-FR"/>
        </w:rPr>
        <w:t>L’immobilier est devenu un élément essentiel dans l</w:t>
      </w:r>
      <w:r w:rsidR="007D6334" w:rsidRPr="00371974">
        <w:rPr>
          <w:rFonts w:cstheme="minorHAnsi"/>
          <w:szCs w:val="22"/>
          <w:lang w:val="fr-FR"/>
        </w:rPr>
        <w:t>a gestion d</w:t>
      </w:r>
      <w:r w:rsidRPr="00371974">
        <w:rPr>
          <w:rFonts w:cstheme="minorHAnsi"/>
          <w:szCs w:val="22"/>
          <w:lang w:val="fr-FR"/>
        </w:rPr>
        <w:t xml:space="preserve">es portefeuilles institutionnels et </w:t>
      </w:r>
      <w:r w:rsidR="007D6334" w:rsidRPr="00371974">
        <w:rPr>
          <w:rFonts w:cstheme="minorHAnsi"/>
          <w:szCs w:val="22"/>
          <w:lang w:val="fr-FR"/>
        </w:rPr>
        <w:t xml:space="preserve">il </w:t>
      </w:r>
      <w:r w:rsidRPr="00371974">
        <w:rPr>
          <w:rFonts w:cstheme="minorHAnsi"/>
          <w:szCs w:val="22"/>
          <w:lang w:val="fr-FR"/>
        </w:rPr>
        <w:t xml:space="preserve">est désormais reconnu comme source de diversification et de valeur ajoutée </w:t>
      </w:r>
      <w:r w:rsidR="007D6334" w:rsidRPr="00371974">
        <w:rPr>
          <w:rFonts w:cstheme="minorHAnsi"/>
          <w:szCs w:val="22"/>
          <w:lang w:val="fr-FR"/>
        </w:rPr>
        <w:t xml:space="preserve">dans la </w:t>
      </w:r>
      <w:r w:rsidRPr="00371974">
        <w:rPr>
          <w:rFonts w:cstheme="minorHAnsi"/>
          <w:szCs w:val="22"/>
          <w:lang w:val="fr-FR"/>
        </w:rPr>
        <w:t xml:space="preserve">construction de portefeuilles diversifiés. Divers véhicules de placement immobilier ont été conçus au fil du temps pour répondre aux besoins des investisseurs et apporter des solutions aux défis inhérents </w:t>
      </w:r>
      <w:r w:rsidR="00124C64">
        <w:rPr>
          <w:rFonts w:cstheme="minorHAnsi"/>
          <w:szCs w:val="22"/>
          <w:lang w:val="fr-FR"/>
        </w:rPr>
        <w:t xml:space="preserve">à l’investissement </w:t>
      </w:r>
      <w:r w:rsidR="00A735E2" w:rsidRPr="00371974">
        <w:rPr>
          <w:rFonts w:cstheme="minorHAnsi"/>
          <w:szCs w:val="22"/>
          <w:lang w:val="fr-FR"/>
        </w:rPr>
        <w:t xml:space="preserve">en </w:t>
      </w:r>
      <w:r w:rsidRPr="00371974">
        <w:rPr>
          <w:rFonts w:cstheme="minorHAnsi"/>
          <w:szCs w:val="22"/>
          <w:lang w:val="fr-FR"/>
        </w:rPr>
        <w:t>direct. L’utilisation de placements collectifs immobiliers non cotés a été largement explorée et analysée dans la recherche acad</w:t>
      </w:r>
      <w:r w:rsidR="007649D9">
        <w:rPr>
          <w:rFonts w:cstheme="minorHAnsi"/>
          <w:szCs w:val="22"/>
          <w:lang w:val="fr-FR"/>
        </w:rPr>
        <w:t>é</w:t>
      </w:r>
      <w:r w:rsidRPr="00371974">
        <w:rPr>
          <w:rFonts w:cstheme="minorHAnsi"/>
          <w:szCs w:val="22"/>
          <w:lang w:val="fr-FR"/>
        </w:rPr>
        <w:t xml:space="preserve">mique et </w:t>
      </w:r>
      <w:r w:rsidR="00C964B6">
        <w:rPr>
          <w:rFonts w:cstheme="minorHAnsi"/>
          <w:szCs w:val="22"/>
          <w:lang w:val="fr-FR"/>
        </w:rPr>
        <w:t>les publications sectorielles</w:t>
      </w:r>
      <w:r w:rsidRPr="00371974">
        <w:rPr>
          <w:rFonts w:cstheme="minorHAnsi"/>
          <w:szCs w:val="22"/>
          <w:lang w:val="fr-FR"/>
        </w:rPr>
        <w:t xml:space="preserve">, mais il n’existe aucune recherche publiée portant sur les véhicules immobiliers non cotés français, à l’exception notable de </w:t>
      </w:r>
      <w:r w:rsidR="0034608F">
        <w:rPr>
          <w:rFonts w:cstheme="minorHAnsi"/>
          <w:szCs w:val="22"/>
          <w:lang w:val="fr-FR"/>
        </w:rPr>
        <w:t xml:space="preserve">P. </w:t>
      </w:r>
      <w:r w:rsidRPr="00371974">
        <w:rPr>
          <w:rFonts w:cstheme="minorHAnsi"/>
          <w:szCs w:val="22"/>
          <w:lang w:val="fr-FR"/>
        </w:rPr>
        <w:t>Schoeffler (2020)</w:t>
      </w:r>
      <w:r w:rsidR="004306A9" w:rsidRPr="007D6334">
        <w:rPr>
          <w:rStyle w:val="Appelnotedebasdep"/>
          <w:szCs w:val="22"/>
        </w:rPr>
        <w:footnoteReference w:id="1"/>
      </w:r>
      <w:r w:rsidR="001114D8" w:rsidRPr="00371974">
        <w:rPr>
          <w:rFonts w:cstheme="minorHAnsi"/>
          <w:szCs w:val="22"/>
          <w:lang w:val="fr-FR"/>
        </w:rPr>
        <w:t>.</w:t>
      </w:r>
      <w:r w:rsidR="00AC39F0" w:rsidRPr="00371974">
        <w:rPr>
          <w:rFonts w:cstheme="minorHAnsi"/>
          <w:szCs w:val="22"/>
          <w:lang w:val="fr-FR"/>
        </w:rPr>
        <w:t xml:space="preserve"> </w:t>
      </w:r>
    </w:p>
    <w:p w14:paraId="7F491503" w14:textId="6E9D60E7" w:rsidR="00E86E3A" w:rsidRPr="00371974" w:rsidRDefault="00E86E3A" w:rsidP="00AC39F0">
      <w:pPr>
        <w:spacing w:line="280" w:lineRule="atLeast"/>
        <w:jc w:val="both"/>
        <w:rPr>
          <w:rFonts w:cstheme="minorHAnsi"/>
          <w:szCs w:val="22"/>
          <w:lang w:val="fr-FR"/>
        </w:rPr>
      </w:pPr>
    </w:p>
    <w:p w14:paraId="7D26A52A" w14:textId="7D669A40" w:rsidR="00B32C3C" w:rsidRPr="00371974" w:rsidRDefault="007D6334" w:rsidP="00AC39F0">
      <w:pPr>
        <w:spacing w:line="280" w:lineRule="atLeast"/>
        <w:jc w:val="both"/>
        <w:rPr>
          <w:szCs w:val="22"/>
          <w:lang w:val="fr-FR"/>
        </w:rPr>
      </w:pPr>
      <w:r w:rsidRPr="00371974">
        <w:rPr>
          <w:szCs w:val="22"/>
          <w:lang w:val="fr-FR"/>
        </w:rPr>
        <w:t>Le véhicule d’investissement français réglementé non c</w:t>
      </w:r>
      <w:r w:rsidR="006827E0">
        <w:rPr>
          <w:szCs w:val="22"/>
          <w:lang w:val="fr-FR"/>
        </w:rPr>
        <w:t>o</w:t>
      </w:r>
      <w:r w:rsidRPr="00371974">
        <w:rPr>
          <w:szCs w:val="22"/>
          <w:lang w:val="fr-FR"/>
        </w:rPr>
        <w:t>té connu sous le nom de Société Civile de Placement Immobilier (SCPI) présente un intérêt particulier et plus spécifiquement le marché d</w:t>
      </w:r>
      <w:r w:rsidRPr="00371974">
        <w:rPr>
          <w:color w:val="000000" w:themeColor="text1"/>
          <w:szCs w:val="22"/>
          <w:lang w:val="fr-FR"/>
        </w:rPr>
        <w:t xml:space="preserve">es SCPI en immobilier </w:t>
      </w:r>
      <w:r w:rsidR="008806EC">
        <w:rPr>
          <w:color w:val="000000" w:themeColor="text1"/>
          <w:szCs w:val="22"/>
          <w:lang w:val="fr-FR"/>
        </w:rPr>
        <w:t>d’entreprise</w:t>
      </w:r>
      <w:r w:rsidRPr="00371974">
        <w:rPr>
          <w:szCs w:val="22"/>
          <w:lang w:val="fr-FR"/>
        </w:rPr>
        <w:t xml:space="preserve">, qui a connu une croissance à deux chiffres au cours des 10 dernières années, </w:t>
      </w:r>
      <w:r w:rsidRPr="00371974">
        <w:rPr>
          <w:color w:val="000000" w:themeColor="text1"/>
          <w:szCs w:val="22"/>
          <w:lang w:val="fr-FR"/>
        </w:rPr>
        <w:t xml:space="preserve">pour atteindre une capitalisation totale de </w:t>
      </w:r>
      <w:r w:rsidRPr="00371974">
        <w:rPr>
          <w:szCs w:val="22"/>
          <w:lang w:val="fr-FR"/>
        </w:rPr>
        <w:t>67</w:t>
      </w:r>
      <w:r w:rsidR="00672773">
        <w:rPr>
          <w:szCs w:val="22"/>
          <w:lang w:val="fr-FR"/>
        </w:rPr>
        <w:t xml:space="preserve"> </w:t>
      </w:r>
      <w:r w:rsidRPr="00371974">
        <w:rPr>
          <w:szCs w:val="22"/>
          <w:lang w:val="fr-FR"/>
        </w:rPr>
        <w:t>milliards d’EUR fin 2020.</w:t>
      </w:r>
    </w:p>
    <w:p w14:paraId="08506E27" w14:textId="77777777" w:rsidR="007D6334" w:rsidRPr="00371974" w:rsidRDefault="007D6334" w:rsidP="00AC39F0">
      <w:pPr>
        <w:spacing w:line="280" w:lineRule="atLeast"/>
        <w:jc w:val="both"/>
        <w:rPr>
          <w:szCs w:val="22"/>
          <w:lang w:val="fr-FR"/>
        </w:rPr>
      </w:pPr>
    </w:p>
    <w:p w14:paraId="110EDD07" w14:textId="1E38C7D3" w:rsidR="008D1C9C" w:rsidRPr="00371974" w:rsidRDefault="002B7883" w:rsidP="00BD010F">
      <w:pPr>
        <w:spacing w:line="280" w:lineRule="atLeast"/>
        <w:jc w:val="both"/>
        <w:rPr>
          <w:szCs w:val="22"/>
          <w:lang w:val="fr-FR"/>
        </w:rPr>
      </w:pPr>
      <w:r w:rsidRPr="00371974">
        <w:rPr>
          <w:szCs w:val="22"/>
          <w:lang w:val="fr-FR"/>
        </w:rPr>
        <w:t xml:space="preserve">Dans sa nouvelle publication </w:t>
      </w:r>
      <w:r w:rsidR="008D1C9C" w:rsidRPr="00371974">
        <w:rPr>
          <w:szCs w:val="22"/>
          <w:lang w:val="fr-FR"/>
        </w:rPr>
        <w:t>“</w:t>
      </w:r>
      <w:r w:rsidR="007952CB" w:rsidRPr="007952CB">
        <w:rPr>
          <w:szCs w:val="22"/>
          <w:u w:val="single"/>
          <w:lang w:val="fr-FR"/>
        </w:rPr>
        <w:t xml:space="preserve">Avantages de la multigestion en architecture ouverte en immobilier – Application au marché des SCPI </w:t>
      </w:r>
      <w:r w:rsidR="008D1C9C" w:rsidRPr="00371974">
        <w:rPr>
          <w:szCs w:val="22"/>
          <w:lang w:val="fr-FR"/>
        </w:rPr>
        <w:t xml:space="preserve">”, </w:t>
      </w:r>
      <w:r w:rsidR="007D6334" w:rsidRPr="00371974">
        <w:rPr>
          <w:szCs w:val="22"/>
          <w:lang w:val="fr-FR"/>
        </w:rPr>
        <w:t>l’</w:t>
      </w:r>
      <w:r w:rsidR="008D1C9C" w:rsidRPr="00371974">
        <w:rPr>
          <w:szCs w:val="22"/>
          <w:lang w:val="fr-FR"/>
        </w:rPr>
        <w:t xml:space="preserve">EDHEC-Risk Institute, </w:t>
      </w:r>
      <w:r w:rsidRPr="00371974">
        <w:rPr>
          <w:szCs w:val="22"/>
          <w:lang w:val="fr-FR"/>
        </w:rPr>
        <w:t xml:space="preserve">en partenariat avec </w:t>
      </w:r>
      <w:r w:rsidR="008D1C9C" w:rsidRPr="00371974">
        <w:rPr>
          <w:szCs w:val="22"/>
          <w:lang w:val="fr-FR"/>
        </w:rPr>
        <w:t>Swiss Life Asset Managers France,</w:t>
      </w:r>
      <w:r w:rsidR="00DF0D6E" w:rsidRPr="00371974">
        <w:rPr>
          <w:szCs w:val="22"/>
          <w:lang w:val="fr-FR"/>
        </w:rPr>
        <w:t xml:space="preserve"> </w:t>
      </w:r>
      <w:r w:rsidRPr="00371974">
        <w:rPr>
          <w:szCs w:val="22"/>
          <w:lang w:val="fr-FR"/>
        </w:rPr>
        <w:t xml:space="preserve">examine </w:t>
      </w:r>
      <w:r w:rsidRPr="00371974">
        <w:rPr>
          <w:b/>
          <w:szCs w:val="22"/>
          <w:lang w:val="fr-FR"/>
        </w:rPr>
        <w:t>si</w:t>
      </w:r>
      <w:r w:rsidRPr="00371974">
        <w:rPr>
          <w:szCs w:val="22"/>
          <w:lang w:val="fr-FR"/>
        </w:rPr>
        <w:t xml:space="preserve"> </w:t>
      </w:r>
      <w:r w:rsidRPr="00371974">
        <w:rPr>
          <w:b/>
          <w:szCs w:val="22"/>
          <w:lang w:val="fr-FR"/>
        </w:rPr>
        <w:t>les outils modernes de la gestion d’actifs telles que la sélection de fonds et l'allocation de portefeuille peuvent être appliqués à l'univers des SCPI</w:t>
      </w:r>
      <w:r w:rsidR="00795D5F">
        <w:rPr>
          <w:rStyle w:val="Appelnotedebasdep"/>
          <w:b/>
          <w:szCs w:val="22"/>
        </w:rPr>
        <w:footnoteReference w:id="2"/>
      </w:r>
      <w:r w:rsidRPr="00371974">
        <w:rPr>
          <w:b/>
          <w:szCs w:val="22"/>
          <w:lang w:val="fr-FR"/>
        </w:rPr>
        <w:t xml:space="preserve"> et créer de la valeur pour les investisseurs</w:t>
      </w:r>
      <w:r w:rsidR="00D569E3" w:rsidRPr="00371974">
        <w:rPr>
          <w:szCs w:val="22"/>
          <w:lang w:val="fr-FR"/>
        </w:rPr>
        <w:t xml:space="preserve"> </w:t>
      </w:r>
      <w:r w:rsidR="004409C6" w:rsidRPr="00371974">
        <w:rPr>
          <w:szCs w:val="22"/>
          <w:lang w:val="fr-FR"/>
        </w:rPr>
        <w:t>souhaitant être e</w:t>
      </w:r>
      <w:r w:rsidR="00404E70" w:rsidRPr="00371974">
        <w:rPr>
          <w:szCs w:val="22"/>
          <w:lang w:val="fr-FR"/>
        </w:rPr>
        <w:t>x</w:t>
      </w:r>
      <w:r w:rsidR="004409C6" w:rsidRPr="00371974">
        <w:rPr>
          <w:szCs w:val="22"/>
          <w:lang w:val="fr-FR"/>
        </w:rPr>
        <w:t xml:space="preserve">posés </w:t>
      </w:r>
      <w:r w:rsidR="00CE0264">
        <w:rPr>
          <w:szCs w:val="22"/>
          <w:lang w:val="fr-FR"/>
        </w:rPr>
        <w:t>à l’</w:t>
      </w:r>
      <w:r w:rsidR="004409C6" w:rsidRPr="00371974">
        <w:rPr>
          <w:szCs w:val="22"/>
          <w:lang w:val="fr-FR"/>
        </w:rPr>
        <w:t>immobilier français non coté.</w:t>
      </w:r>
    </w:p>
    <w:p w14:paraId="07F189F8" w14:textId="77777777" w:rsidR="00D569E3" w:rsidRPr="00371974" w:rsidRDefault="00D569E3" w:rsidP="00BD010F">
      <w:pPr>
        <w:spacing w:line="280" w:lineRule="atLeast"/>
        <w:jc w:val="both"/>
        <w:rPr>
          <w:szCs w:val="22"/>
          <w:lang w:val="fr-FR"/>
        </w:rPr>
      </w:pPr>
    </w:p>
    <w:p w14:paraId="3C3EFD51" w14:textId="6911EC78" w:rsidR="00813442" w:rsidRPr="00371974" w:rsidRDefault="004409C6" w:rsidP="00813442">
      <w:pPr>
        <w:spacing w:line="280" w:lineRule="atLeast"/>
        <w:jc w:val="both"/>
        <w:rPr>
          <w:snapToGrid w:val="0"/>
          <w:color w:val="000000"/>
          <w:szCs w:val="22"/>
          <w:lang w:val="fr-FR"/>
        </w:rPr>
      </w:pPr>
      <w:r w:rsidRPr="00371974">
        <w:rPr>
          <w:snapToGrid w:val="0"/>
          <w:color w:val="000000"/>
          <w:szCs w:val="22"/>
          <w:lang w:val="fr-FR"/>
        </w:rPr>
        <w:t>Les principal</w:t>
      </w:r>
      <w:r w:rsidR="00E86E3A" w:rsidRPr="00371974">
        <w:rPr>
          <w:snapToGrid w:val="0"/>
          <w:color w:val="000000"/>
          <w:szCs w:val="22"/>
          <w:lang w:val="fr-FR"/>
        </w:rPr>
        <w:t>e</w:t>
      </w:r>
      <w:r w:rsidRPr="00371974">
        <w:rPr>
          <w:snapToGrid w:val="0"/>
          <w:color w:val="000000"/>
          <w:szCs w:val="22"/>
          <w:lang w:val="fr-FR"/>
        </w:rPr>
        <w:t>s conclusions de ce</w:t>
      </w:r>
      <w:r w:rsidR="00CE0264">
        <w:rPr>
          <w:snapToGrid w:val="0"/>
          <w:color w:val="000000"/>
          <w:szCs w:val="22"/>
          <w:lang w:val="fr-FR"/>
        </w:rPr>
        <w:t>tte</w:t>
      </w:r>
      <w:r w:rsidRPr="00371974">
        <w:rPr>
          <w:snapToGrid w:val="0"/>
          <w:color w:val="000000"/>
          <w:szCs w:val="22"/>
          <w:lang w:val="fr-FR"/>
        </w:rPr>
        <w:t xml:space="preserve"> </w:t>
      </w:r>
      <w:r w:rsidR="00CE0264">
        <w:rPr>
          <w:snapToGrid w:val="0"/>
          <w:color w:val="000000"/>
          <w:szCs w:val="22"/>
          <w:lang w:val="fr-FR"/>
        </w:rPr>
        <w:t>étude</w:t>
      </w:r>
      <w:r w:rsidR="00DF0D6E" w:rsidRPr="007D6334">
        <w:rPr>
          <w:rStyle w:val="Appelnotedebasdep"/>
          <w:snapToGrid w:val="0"/>
          <w:color w:val="000000"/>
          <w:szCs w:val="22"/>
        </w:rPr>
        <w:footnoteReference w:id="3"/>
      </w:r>
      <w:r w:rsidR="00813442" w:rsidRPr="00371974">
        <w:rPr>
          <w:snapToGrid w:val="0"/>
          <w:color w:val="000000"/>
          <w:szCs w:val="22"/>
          <w:lang w:val="fr-FR"/>
        </w:rPr>
        <w:t xml:space="preserve"> </w:t>
      </w:r>
      <w:r w:rsidRPr="00371974">
        <w:rPr>
          <w:snapToGrid w:val="0"/>
          <w:color w:val="000000"/>
          <w:szCs w:val="22"/>
          <w:lang w:val="fr-FR"/>
        </w:rPr>
        <w:t xml:space="preserve">sont les </w:t>
      </w:r>
      <w:r w:rsidR="0034608F" w:rsidRPr="00371974">
        <w:rPr>
          <w:snapToGrid w:val="0"/>
          <w:color w:val="000000"/>
          <w:szCs w:val="22"/>
          <w:lang w:val="fr-FR"/>
        </w:rPr>
        <w:t>suivantes :</w:t>
      </w:r>
    </w:p>
    <w:p w14:paraId="27C74B1E" w14:textId="23997EF0" w:rsidR="00813442" w:rsidRPr="00371974" w:rsidRDefault="00813442" w:rsidP="00813442">
      <w:pPr>
        <w:spacing w:line="280" w:lineRule="atLeast"/>
        <w:jc w:val="both"/>
        <w:rPr>
          <w:snapToGrid w:val="0"/>
          <w:color w:val="000000"/>
          <w:szCs w:val="22"/>
          <w:lang w:val="fr-FR"/>
        </w:rPr>
      </w:pPr>
    </w:p>
    <w:p w14:paraId="350B806D" w14:textId="428BB1EF" w:rsidR="001F5E8D" w:rsidRPr="00371974" w:rsidRDefault="004409C6" w:rsidP="001F5E8D">
      <w:pPr>
        <w:rPr>
          <w:i/>
          <w:snapToGrid w:val="0"/>
          <w:color w:val="000000"/>
          <w:szCs w:val="22"/>
          <w:lang w:val="fr-FR"/>
        </w:rPr>
      </w:pPr>
      <w:bookmarkStart w:id="1" w:name="_Toc67914750"/>
      <w:r w:rsidRPr="00371974">
        <w:rPr>
          <w:i/>
          <w:snapToGrid w:val="0"/>
          <w:color w:val="000000"/>
          <w:szCs w:val="22"/>
          <w:lang w:val="fr-FR"/>
        </w:rPr>
        <w:t>SCPI</w:t>
      </w:r>
      <w:r w:rsidR="0034608F">
        <w:rPr>
          <w:i/>
          <w:snapToGrid w:val="0"/>
          <w:color w:val="000000"/>
          <w:szCs w:val="22"/>
          <w:lang w:val="fr-FR"/>
        </w:rPr>
        <w:t xml:space="preserve"> </w:t>
      </w:r>
      <w:r w:rsidRPr="00371974">
        <w:rPr>
          <w:i/>
          <w:snapToGrid w:val="0"/>
          <w:color w:val="000000"/>
          <w:szCs w:val="22"/>
          <w:lang w:val="fr-FR"/>
        </w:rPr>
        <w:t>: ANALYSE DE LA PERFORMANCE ET DU RISQUE</w:t>
      </w:r>
    </w:p>
    <w:p w14:paraId="783B79A6" w14:textId="77777777" w:rsidR="009A2C69" w:rsidRPr="00371974" w:rsidRDefault="009A2C69" w:rsidP="001F5E8D">
      <w:pPr>
        <w:rPr>
          <w:lang w:val="fr-FR"/>
        </w:rPr>
      </w:pPr>
    </w:p>
    <w:p w14:paraId="78B2C64E" w14:textId="49E555E7" w:rsidR="00404E70" w:rsidRPr="00371974" w:rsidRDefault="00404E70" w:rsidP="00717176">
      <w:pPr>
        <w:pStyle w:val="Paragraphedeliste"/>
        <w:numPr>
          <w:ilvl w:val="0"/>
          <w:numId w:val="11"/>
        </w:numPr>
        <w:jc w:val="both"/>
        <w:rPr>
          <w:szCs w:val="22"/>
          <w:lang w:val="fr-FR"/>
        </w:rPr>
      </w:pPr>
      <w:r w:rsidRPr="00371974">
        <w:rPr>
          <w:szCs w:val="22"/>
          <w:lang w:val="fr-FR"/>
        </w:rPr>
        <w:t>L’analyse de la performance de l’indice de prix EDHEC IEIF Immobilier d’Entreprise France montre que tout au long de la période, plus de 75 %</w:t>
      </w:r>
      <w:r w:rsidR="000C385A" w:rsidRPr="00371974">
        <w:rPr>
          <w:szCs w:val="22"/>
          <w:lang w:val="fr-FR"/>
        </w:rPr>
        <w:t xml:space="preserve"> du rendement total </w:t>
      </w:r>
      <w:r w:rsidRPr="00371974">
        <w:rPr>
          <w:szCs w:val="22"/>
          <w:lang w:val="fr-FR"/>
        </w:rPr>
        <w:t>s’explique par la distribution de dividendes, ce qui est conforme à l’objectif des SCPI en tant que véhicules générateurs de revenus locatifs.</w:t>
      </w:r>
    </w:p>
    <w:p w14:paraId="2DE6BB67" w14:textId="0435F412" w:rsidR="00222172" w:rsidRPr="00371974" w:rsidRDefault="00A620FA" w:rsidP="00717176">
      <w:pPr>
        <w:pStyle w:val="Paragraphedeliste"/>
        <w:numPr>
          <w:ilvl w:val="0"/>
          <w:numId w:val="11"/>
        </w:numPr>
        <w:jc w:val="both"/>
        <w:rPr>
          <w:lang w:val="fr-FR"/>
        </w:rPr>
      </w:pPr>
      <w:r w:rsidRPr="00371974">
        <w:rPr>
          <w:lang w:val="fr-FR"/>
        </w:rPr>
        <w:lastRenderedPageBreak/>
        <w:t xml:space="preserve">Bien qu’il </w:t>
      </w:r>
      <w:r w:rsidR="00222172" w:rsidRPr="00371974">
        <w:rPr>
          <w:lang w:val="fr-FR"/>
        </w:rPr>
        <w:t>soit l</w:t>
      </w:r>
      <w:r w:rsidRPr="00371974">
        <w:rPr>
          <w:lang w:val="fr-FR"/>
        </w:rPr>
        <w:t>e</w:t>
      </w:r>
      <w:r w:rsidR="00222172" w:rsidRPr="00371974">
        <w:rPr>
          <w:lang w:val="fr-FR"/>
        </w:rPr>
        <w:t xml:space="preserve"> plus grand </w:t>
      </w:r>
      <w:r w:rsidR="00157B0D" w:rsidRPr="00371974">
        <w:rPr>
          <w:lang w:val="fr-FR"/>
        </w:rPr>
        <w:t>contribut</w:t>
      </w:r>
      <w:r w:rsidRPr="00371974">
        <w:rPr>
          <w:lang w:val="fr-FR"/>
        </w:rPr>
        <w:t xml:space="preserve">eur </w:t>
      </w:r>
      <w:r w:rsidR="00222172" w:rsidRPr="00371974">
        <w:rPr>
          <w:lang w:val="fr-FR"/>
        </w:rPr>
        <w:t xml:space="preserve">au rendement total, </w:t>
      </w:r>
      <w:r w:rsidRPr="00371974">
        <w:rPr>
          <w:lang w:val="fr-FR"/>
        </w:rPr>
        <w:t xml:space="preserve">le taux de distribution </w:t>
      </w:r>
      <w:r w:rsidR="00222172" w:rsidRPr="00371974">
        <w:rPr>
          <w:lang w:val="fr-FR"/>
        </w:rPr>
        <w:t>joue</w:t>
      </w:r>
      <w:r w:rsidR="00157B0D" w:rsidRPr="00371974">
        <w:rPr>
          <w:lang w:val="fr-FR"/>
        </w:rPr>
        <w:t xml:space="preserve"> </w:t>
      </w:r>
      <w:r w:rsidR="00222172" w:rsidRPr="00371974">
        <w:rPr>
          <w:lang w:val="fr-FR"/>
        </w:rPr>
        <w:t>un r</w:t>
      </w:r>
      <w:r w:rsidR="00A23A39">
        <w:rPr>
          <w:lang w:val="fr-FR"/>
        </w:rPr>
        <w:t>ô</w:t>
      </w:r>
      <w:r w:rsidR="00222172" w:rsidRPr="00371974">
        <w:rPr>
          <w:lang w:val="fr-FR"/>
        </w:rPr>
        <w:t>le mod</w:t>
      </w:r>
      <w:r w:rsidR="00420DCA">
        <w:rPr>
          <w:lang w:val="fr-FR"/>
        </w:rPr>
        <w:t>este</w:t>
      </w:r>
      <w:r w:rsidR="00222172" w:rsidRPr="00371974">
        <w:rPr>
          <w:lang w:val="fr-FR"/>
        </w:rPr>
        <w:t xml:space="preserve"> dans les </w:t>
      </w:r>
      <w:r w:rsidR="00157B0D" w:rsidRPr="00371974">
        <w:rPr>
          <w:lang w:val="fr-FR"/>
        </w:rPr>
        <w:t>é</w:t>
      </w:r>
      <w:r w:rsidR="00222172" w:rsidRPr="00371974">
        <w:rPr>
          <w:lang w:val="fr-FR"/>
        </w:rPr>
        <w:t xml:space="preserve">carts de performances </w:t>
      </w:r>
      <w:r w:rsidR="00420DCA">
        <w:rPr>
          <w:lang w:val="fr-FR"/>
        </w:rPr>
        <w:t xml:space="preserve">entre </w:t>
      </w:r>
      <w:r w:rsidR="009F0C48">
        <w:rPr>
          <w:lang w:val="fr-FR"/>
        </w:rPr>
        <w:t xml:space="preserve">les </w:t>
      </w:r>
      <w:r w:rsidR="00222172" w:rsidRPr="00371974">
        <w:rPr>
          <w:lang w:val="fr-FR"/>
        </w:rPr>
        <w:t>SCPI</w:t>
      </w:r>
      <w:r w:rsidRPr="00371974">
        <w:rPr>
          <w:lang w:val="fr-FR"/>
        </w:rPr>
        <w:t xml:space="preserve"> ; les contributions marginales </w:t>
      </w:r>
      <w:r w:rsidR="005C4DA1" w:rsidRPr="00371974">
        <w:rPr>
          <w:lang w:val="fr-FR"/>
        </w:rPr>
        <w:t xml:space="preserve">des </w:t>
      </w:r>
      <w:r w:rsidR="00222172" w:rsidRPr="00371974">
        <w:rPr>
          <w:lang w:val="fr-FR"/>
        </w:rPr>
        <w:t>revalorisation</w:t>
      </w:r>
      <w:r w:rsidRPr="00371974">
        <w:rPr>
          <w:lang w:val="fr-FR"/>
        </w:rPr>
        <w:t xml:space="preserve">s des parts et taux de distribution dans les </w:t>
      </w:r>
      <w:r w:rsidR="009F0C48">
        <w:rPr>
          <w:lang w:val="fr-FR"/>
        </w:rPr>
        <w:t xml:space="preserve">variations </w:t>
      </w:r>
      <w:r w:rsidRPr="00371974">
        <w:rPr>
          <w:lang w:val="fr-FR"/>
        </w:rPr>
        <w:t xml:space="preserve">de performances </w:t>
      </w:r>
      <w:r w:rsidR="00222172" w:rsidRPr="00371974">
        <w:rPr>
          <w:lang w:val="fr-FR"/>
        </w:rPr>
        <w:t xml:space="preserve">entre les </w:t>
      </w:r>
      <w:r w:rsidR="00157B0D" w:rsidRPr="00371974">
        <w:rPr>
          <w:lang w:val="fr-FR"/>
        </w:rPr>
        <w:t>SCPI</w:t>
      </w:r>
      <w:r w:rsidR="00222172" w:rsidRPr="00371974">
        <w:rPr>
          <w:lang w:val="fr-FR"/>
        </w:rPr>
        <w:t xml:space="preserve"> sont respectivement égales à 89 % et à 11 %</w:t>
      </w:r>
      <w:r w:rsidR="0034608F">
        <w:rPr>
          <w:lang w:val="fr-FR"/>
        </w:rPr>
        <w:t xml:space="preserve"> </w:t>
      </w:r>
      <w:r w:rsidR="00222172" w:rsidRPr="00371974">
        <w:rPr>
          <w:lang w:val="fr-FR"/>
        </w:rPr>
        <w:t>;</w:t>
      </w:r>
    </w:p>
    <w:p w14:paraId="0F8007C9" w14:textId="24E10CA4" w:rsidR="00157B0D" w:rsidRPr="00371974" w:rsidRDefault="00157B0D" w:rsidP="00717176">
      <w:pPr>
        <w:pStyle w:val="Paragraphedeliste"/>
        <w:numPr>
          <w:ilvl w:val="0"/>
          <w:numId w:val="11"/>
        </w:numPr>
        <w:spacing w:line="259" w:lineRule="auto"/>
        <w:contextualSpacing w:val="0"/>
        <w:jc w:val="both"/>
        <w:rPr>
          <w:lang w:val="fr-FR"/>
        </w:rPr>
      </w:pPr>
      <w:r w:rsidRPr="00371974">
        <w:rPr>
          <w:lang w:val="fr-FR"/>
        </w:rPr>
        <w:t xml:space="preserve">Le principal facteur de surperformance pour une SCPI donnée est donc </w:t>
      </w:r>
      <w:r w:rsidR="00A620FA" w:rsidRPr="00371974">
        <w:rPr>
          <w:lang w:val="fr-FR"/>
        </w:rPr>
        <w:t>la revalorisation moyenne des parts</w:t>
      </w:r>
      <w:r w:rsidRPr="00371974">
        <w:rPr>
          <w:lang w:val="fr-FR"/>
        </w:rPr>
        <w:t xml:space="preserve">, qui varie autant que le </w:t>
      </w:r>
      <w:r w:rsidR="006F3894" w:rsidRPr="00371974">
        <w:rPr>
          <w:lang w:val="fr-FR"/>
        </w:rPr>
        <w:t>rendement total</w:t>
      </w:r>
      <w:r w:rsidRPr="00371974">
        <w:rPr>
          <w:lang w:val="fr-FR"/>
        </w:rPr>
        <w:t xml:space="preserve"> (passant de -0,6 % à 7,6 % en moyenne par an) dans l’univers des </w:t>
      </w:r>
      <w:r w:rsidR="000C385A" w:rsidRPr="00371974">
        <w:rPr>
          <w:lang w:val="fr-FR"/>
        </w:rPr>
        <w:t>SCPI</w:t>
      </w:r>
      <w:r w:rsidR="0034608F">
        <w:rPr>
          <w:lang w:val="fr-FR"/>
        </w:rPr>
        <w:t xml:space="preserve"> </w:t>
      </w:r>
      <w:r w:rsidRPr="00371974">
        <w:rPr>
          <w:lang w:val="fr-FR"/>
        </w:rPr>
        <w:t>;</w:t>
      </w:r>
    </w:p>
    <w:p w14:paraId="2D37095D" w14:textId="68AEA899" w:rsidR="00CB6B5A" w:rsidRPr="00371974" w:rsidRDefault="006F3894" w:rsidP="00717176">
      <w:pPr>
        <w:pStyle w:val="Paragraphedeliste"/>
        <w:numPr>
          <w:ilvl w:val="0"/>
          <w:numId w:val="11"/>
        </w:numPr>
        <w:spacing w:line="259" w:lineRule="auto"/>
        <w:contextualSpacing w:val="0"/>
        <w:jc w:val="both"/>
        <w:rPr>
          <w:lang w:val="fr-FR"/>
        </w:rPr>
      </w:pPr>
      <w:r w:rsidRPr="00371974">
        <w:rPr>
          <w:lang w:val="fr-FR" w:bidi="en-US"/>
        </w:rPr>
        <w:t>L</w:t>
      </w:r>
      <w:r w:rsidR="00A620FA" w:rsidRPr="00371974">
        <w:rPr>
          <w:lang w:val="fr-FR" w:bidi="en-US"/>
        </w:rPr>
        <w:t xml:space="preserve">a revalorisation de part </w:t>
      </w:r>
      <w:r w:rsidRPr="00371974">
        <w:rPr>
          <w:lang w:val="fr-FR"/>
        </w:rPr>
        <w:t xml:space="preserve">joue un </w:t>
      </w:r>
      <w:r w:rsidR="00383109" w:rsidRPr="00371974">
        <w:rPr>
          <w:lang w:val="fr-FR"/>
        </w:rPr>
        <w:t>r</w:t>
      </w:r>
      <w:r w:rsidR="00383109">
        <w:rPr>
          <w:lang w:val="fr-FR"/>
        </w:rPr>
        <w:t>ô</w:t>
      </w:r>
      <w:r w:rsidR="00383109" w:rsidRPr="00371974">
        <w:rPr>
          <w:lang w:val="fr-FR"/>
        </w:rPr>
        <w:t xml:space="preserve">le </w:t>
      </w:r>
      <w:r w:rsidRPr="00371974">
        <w:rPr>
          <w:lang w:val="fr-FR"/>
        </w:rPr>
        <w:t xml:space="preserve">tout aussi important </w:t>
      </w:r>
      <w:r w:rsidRPr="00371974">
        <w:rPr>
          <w:lang w:val="fr-FR" w:bidi="en-US"/>
        </w:rPr>
        <w:t>pour expliquer</w:t>
      </w:r>
      <w:r w:rsidR="00CB6B5A" w:rsidRPr="00371974">
        <w:rPr>
          <w:lang w:val="fr-FR" w:bidi="en-US"/>
        </w:rPr>
        <w:t xml:space="preserve"> </w:t>
      </w:r>
      <w:r w:rsidRPr="00371974">
        <w:rPr>
          <w:lang w:val="fr-FR" w:bidi="en-US"/>
        </w:rPr>
        <w:t xml:space="preserve">les </w:t>
      </w:r>
      <w:r w:rsidR="00A735E2" w:rsidRPr="00371974">
        <w:rPr>
          <w:lang w:val="fr-FR" w:bidi="en-US"/>
        </w:rPr>
        <w:t>é</w:t>
      </w:r>
      <w:r w:rsidRPr="00371974">
        <w:rPr>
          <w:lang w:val="fr-FR" w:bidi="en-US"/>
        </w:rPr>
        <w:t>ca</w:t>
      </w:r>
      <w:r w:rsidR="00D329EB" w:rsidRPr="00371974">
        <w:rPr>
          <w:lang w:val="fr-FR" w:bidi="en-US"/>
        </w:rPr>
        <w:t xml:space="preserve">rts </w:t>
      </w:r>
      <w:r w:rsidRPr="00371974">
        <w:rPr>
          <w:lang w:val="fr-FR" w:bidi="en-US"/>
        </w:rPr>
        <w:t>importants de risqu</w:t>
      </w:r>
      <w:r w:rsidR="00D329EB" w:rsidRPr="00371974">
        <w:rPr>
          <w:lang w:val="fr-FR" w:bidi="en-US"/>
        </w:rPr>
        <w:t>e</w:t>
      </w:r>
      <w:r w:rsidRPr="00371974">
        <w:rPr>
          <w:lang w:val="fr-FR" w:bidi="en-US"/>
        </w:rPr>
        <w:t xml:space="preserve"> entre les SCPI</w:t>
      </w:r>
      <w:r w:rsidR="0034608F">
        <w:rPr>
          <w:lang w:val="fr-FR" w:bidi="en-US"/>
        </w:rPr>
        <w:t xml:space="preserve"> </w:t>
      </w:r>
      <w:r w:rsidRPr="00371974">
        <w:rPr>
          <w:lang w:val="fr-FR" w:bidi="en-US"/>
        </w:rPr>
        <w:t>;</w:t>
      </w:r>
    </w:p>
    <w:p w14:paraId="400A90D4" w14:textId="2F3C7DBC" w:rsidR="001F5E8D" w:rsidRPr="00371974" w:rsidRDefault="00E86E3A" w:rsidP="00717176">
      <w:pPr>
        <w:pStyle w:val="Paragraphedeliste"/>
        <w:numPr>
          <w:ilvl w:val="0"/>
          <w:numId w:val="11"/>
        </w:numPr>
        <w:spacing w:line="259" w:lineRule="auto"/>
        <w:contextualSpacing w:val="0"/>
        <w:jc w:val="both"/>
        <w:rPr>
          <w:lang w:val="fr-FR"/>
        </w:rPr>
      </w:pPr>
      <w:r w:rsidRPr="00371974">
        <w:rPr>
          <w:lang w:val="fr-FR"/>
        </w:rPr>
        <w:t xml:space="preserve">Ces </w:t>
      </w:r>
      <w:r w:rsidRPr="00371974">
        <w:rPr>
          <w:b/>
          <w:lang w:val="fr-FR"/>
        </w:rPr>
        <w:t xml:space="preserve">écarts </w:t>
      </w:r>
      <w:r w:rsidR="00F91161">
        <w:rPr>
          <w:b/>
          <w:lang w:val="fr-FR"/>
        </w:rPr>
        <w:t xml:space="preserve">importants </w:t>
      </w:r>
      <w:r w:rsidRPr="00371974">
        <w:rPr>
          <w:b/>
          <w:lang w:val="fr-FR"/>
        </w:rPr>
        <w:t>de performance</w:t>
      </w:r>
      <w:r w:rsidR="005507DC">
        <w:rPr>
          <w:b/>
          <w:lang w:val="fr-FR"/>
        </w:rPr>
        <w:t xml:space="preserve"> et de risque</w:t>
      </w:r>
      <w:r w:rsidRPr="00371974">
        <w:rPr>
          <w:b/>
          <w:lang w:val="fr-FR"/>
        </w:rPr>
        <w:t xml:space="preserve"> </w:t>
      </w:r>
      <w:r w:rsidR="005F349C">
        <w:rPr>
          <w:lang w:val="fr-FR"/>
        </w:rPr>
        <w:t xml:space="preserve">laissent </w:t>
      </w:r>
      <w:r w:rsidR="00584BED">
        <w:rPr>
          <w:lang w:val="fr-FR"/>
        </w:rPr>
        <w:t xml:space="preserve">naturellement </w:t>
      </w:r>
      <w:r w:rsidR="005F349C">
        <w:rPr>
          <w:lang w:val="fr-FR"/>
        </w:rPr>
        <w:t>penser</w:t>
      </w:r>
      <w:r w:rsidR="004A6E31">
        <w:rPr>
          <w:lang w:val="fr-FR"/>
        </w:rPr>
        <w:t xml:space="preserve"> que</w:t>
      </w:r>
      <w:r w:rsidR="007F4C1B">
        <w:rPr>
          <w:lang w:val="fr-FR"/>
        </w:rPr>
        <w:t xml:space="preserve"> les investisseurs </w:t>
      </w:r>
      <w:r w:rsidR="005907E0">
        <w:rPr>
          <w:lang w:val="fr-FR"/>
        </w:rPr>
        <w:t xml:space="preserve">gagneraient à </w:t>
      </w:r>
      <w:r w:rsidR="00584BED">
        <w:rPr>
          <w:lang w:val="fr-FR"/>
        </w:rPr>
        <w:t>mettre en œuvre des processus de sélection et d’allocation</w:t>
      </w:r>
      <w:r w:rsidR="001F5E8D" w:rsidRPr="00371974">
        <w:rPr>
          <w:lang w:val="fr-FR"/>
        </w:rPr>
        <w:t>.</w:t>
      </w:r>
    </w:p>
    <w:p w14:paraId="4B92A76C" w14:textId="77777777" w:rsidR="005D45BC" w:rsidRPr="00371974" w:rsidRDefault="005D45BC" w:rsidP="00717176">
      <w:pPr>
        <w:jc w:val="both"/>
        <w:rPr>
          <w:lang w:val="fr-FR"/>
        </w:rPr>
      </w:pPr>
    </w:p>
    <w:p w14:paraId="006B4F77" w14:textId="3EB070DC" w:rsidR="00813442" w:rsidRPr="00371974" w:rsidRDefault="0014784E" w:rsidP="00115192">
      <w:pPr>
        <w:pStyle w:val="Titre1"/>
        <w:ind w:left="431" w:hanging="431"/>
        <w:jc w:val="left"/>
        <w:rPr>
          <w:rFonts w:ascii="Times New Roman" w:hAnsi="Times New Roman"/>
          <w:b w:val="0"/>
          <w:bCs w:val="0"/>
          <w:i/>
          <w:snapToGrid w:val="0"/>
          <w:color w:val="000000"/>
          <w:lang w:val="fr-FR"/>
        </w:rPr>
      </w:pPr>
      <w:r w:rsidRPr="00371974">
        <w:rPr>
          <w:rFonts w:ascii="Times New Roman" w:hAnsi="Times New Roman"/>
          <w:b w:val="0"/>
          <w:bCs w:val="0"/>
          <w:i/>
          <w:snapToGrid w:val="0"/>
          <w:color w:val="000000"/>
          <w:lang w:val="fr-FR"/>
        </w:rPr>
        <w:t xml:space="preserve">DIVERSIFICATION </w:t>
      </w:r>
      <w:r w:rsidR="00CF7305" w:rsidRPr="00371974">
        <w:rPr>
          <w:rFonts w:ascii="Times New Roman" w:hAnsi="Times New Roman"/>
          <w:b w:val="0"/>
          <w:bCs w:val="0"/>
          <w:i/>
          <w:snapToGrid w:val="0"/>
          <w:color w:val="000000"/>
          <w:lang w:val="fr-FR"/>
        </w:rPr>
        <w:t>D</w:t>
      </w:r>
      <w:r w:rsidR="00CF7305">
        <w:rPr>
          <w:rFonts w:ascii="Times New Roman" w:hAnsi="Times New Roman"/>
          <w:b w:val="0"/>
          <w:bCs w:val="0"/>
          <w:i/>
          <w:snapToGrid w:val="0"/>
          <w:color w:val="000000"/>
          <w:lang w:val="fr-FR"/>
        </w:rPr>
        <w:t>E</w:t>
      </w:r>
      <w:r w:rsidR="00CF7305" w:rsidRPr="00371974">
        <w:rPr>
          <w:rFonts w:ascii="Times New Roman" w:hAnsi="Times New Roman"/>
          <w:b w:val="0"/>
          <w:bCs w:val="0"/>
          <w:i/>
          <w:snapToGrid w:val="0"/>
          <w:color w:val="000000"/>
          <w:lang w:val="fr-FR"/>
        </w:rPr>
        <w:t xml:space="preserve"> </w:t>
      </w:r>
      <w:r w:rsidRPr="00371974">
        <w:rPr>
          <w:rFonts w:ascii="Times New Roman" w:hAnsi="Times New Roman"/>
          <w:b w:val="0"/>
          <w:bCs w:val="0"/>
          <w:i/>
          <w:snapToGrid w:val="0"/>
          <w:color w:val="000000"/>
          <w:lang w:val="fr-FR"/>
        </w:rPr>
        <w:t>PORTEFEUILLE ET AVANTAGES DE L’</w:t>
      </w:r>
      <w:r w:rsidR="00115192" w:rsidRPr="00371974">
        <w:rPr>
          <w:rFonts w:ascii="Times New Roman" w:hAnsi="Times New Roman"/>
          <w:b w:val="0"/>
          <w:bCs w:val="0"/>
          <w:i/>
          <w:snapToGrid w:val="0"/>
          <w:color w:val="000000"/>
          <w:lang w:val="fr-FR"/>
        </w:rPr>
        <w:t>ALLOCATION</w:t>
      </w:r>
      <w:r w:rsidR="00813442" w:rsidRPr="00371974">
        <w:rPr>
          <w:rFonts w:ascii="Times New Roman" w:hAnsi="Times New Roman"/>
          <w:b w:val="0"/>
          <w:bCs w:val="0"/>
          <w:i/>
          <w:snapToGrid w:val="0"/>
          <w:color w:val="000000"/>
          <w:lang w:val="fr-FR"/>
        </w:rPr>
        <w:t xml:space="preserve"> </w:t>
      </w:r>
      <w:bookmarkEnd w:id="1"/>
    </w:p>
    <w:p w14:paraId="36433ED8" w14:textId="4CCEA2A9" w:rsidR="00BF78F2" w:rsidRPr="00371974" w:rsidRDefault="00BF78F2" w:rsidP="00813442">
      <w:pPr>
        <w:spacing w:line="280" w:lineRule="atLeast"/>
        <w:jc w:val="both"/>
        <w:rPr>
          <w:snapToGrid w:val="0"/>
          <w:color w:val="000000"/>
          <w:szCs w:val="22"/>
          <w:lang w:val="fr-FR"/>
        </w:rPr>
      </w:pPr>
    </w:p>
    <w:p w14:paraId="0AE3597E" w14:textId="0F86D831" w:rsidR="00BF78F2" w:rsidRPr="00371974" w:rsidRDefault="00E06199" w:rsidP="00CD438A">
      <w:pPr>
        <w:pStyle w:val="Paragraphedeliste"/>
        <w:numPr>
          <w:ilvl w:val="0"/>
          <w:numId w:val="13"/>
        </w:numPr>
        <w:spacing w:line="280" w:lineRule="atLeast"/>
        <w:jc w:val="both"/>
        <w:rPr>
          <w:szCs w:val="22"/>
          <w:lang w:val="fr-FR"/>
        </w:rPr>
      </w:pPr>
      <w:r>
        <w:rPr>
          <w:rFonts w:eastAsiaTheme="minorEastAsia"/>
          <w:color w:val="0F1727"/>
          <w:lang w:val="fr-FR"/>
        </w:rPr>
        <w:t>Comme on pouvait s’y attendre</w:t>
      </w:r>
      <w:r w:rsidR="00EE3FE4">
        <w:rPr>
          <w:rFonts w:eastAsiaTheme="minorEastAsia"/>
          <w:color w:val="0F1727"/>
          <w:lang w:val="fr-FR"/>
        </w:rPr>
        <w:t xml:space="preserve">, </w:t>
      </w:r>
      <w:r w:rsidR="006C07C3">
        <w:rPr>
          <w:rFonts w:eastAsiaTheme="minorEastAsia"/>
          <w:color w:val="0F1727"/>
          <w:lang w:val="fr-FR"/>
        </w:rPr>
        <w:t>d</w:t>
      </w:r>
      <w:r w:rsidR="00CD438A" w:rsidRPr="00371974">
        <w:rPr>
          <w:rFonts w:eastAsiaTheme="minorEastAsia"/>
          <w:color w:val="0F1727"/>
          <w:lang w:val="fr-FR"/>
        </w:rPr>
        <w:t xml:space="preserve">étenir plus de SCPI dans </w:t>
      </w:r>
      <w:r w:rsidR="00E56D6E">
        <w:rPr>
          <w:rFonts w:eastAsiaTheme="minorEastAsia"/>
          <w:color w:val="0F1727"/>
          <w:lang w:val="fr-FR"/>
        </w:rPr>
        <w:t>un</w:t>
      </w:r>
      <w:r w:rsidR="00E56D6E" w:rsidRPr="00371974">
        <w:rPr>
          <w:rFonts w:eastAsiaTheme="minorEastAsia"/>
          <w:color w:val="0F1727"/>
          <w:lang w:val="fr-FR"/>
        </w:rPr>
        <w:t xml:space="preserve"> </w:t>
      </w:r>
      <w:r w:rsidR="00CD438A" w:rsidRPr="00371974">
        <w:rPr>
          <w:rFonts w:eastAsiaTheme="minorEastAsia"/>
          <w:color w:val="0F1727"/>
          <w:lang w:val="fr-FR"/>
        </w:rPr>
        <w:t xml:space="preserve">portefeuille </w:t>
      </w:r>
      <w:r w:rsidR="006C07C3">
        <w:rPr>
          <w:rFonts w:eastAsiaTheme="minorEastAsia"/>
          <w:color w:val="0F1727"/>
          <w:lang w:val="fr-FR"/>
        </w:rPr>
        <w:t xml:space="preserve">va en moyenne réduire la volatilité </w:t>
      </w:r>
      <w:r>
        <w:rPr>
          <w:rFonts w:eastAsiaTheme="minorEastAsia"/>
          <w:color w:val="0F1727"/>
          <w:lang w:val="fr-FR"/>
        </w:rPr>
        <w:t>de ce dernier</w:t>
      </w:r>
      <w:r w:rsidR="0034608F">
        <w:rPr>
          <w:rFonts w:eastAsiaTheme="minorEastAsia"/>
          <w:color w:val="0F1727"/>
          <w:lang w:val="fr-FR"/>
        </w:rPr>
        <w:t xml:space="preserve"> </w:t>
      </w:r>
      <w:r w:rsidR="00611A3B" w:rsidRPr="00371974">
        <w:rPr>
          <w:rFonts w:eastAsiaTheme="minorEastAsia"/>
          <w:color w:val="0F1727"/>
          <w:lang w:val="fr-FR"/>
        </w:rPr>
        <w:t>;</w:t>
      </w:r>
    </w:p>
    <w:p w14:paraId="0EDD4C9D" w14:textId="6FA9B253" w:rsidR="009A2C69" w:rsidRPr="00371974" w:rsidRDefault="00E64CC9" w:rsidP="009A2C69">
      <w:pPr>
        <w:pStyle w:val="Paragraphedeliste"/>
        <w:numPr>
          <w:ilvl w:val="0"/>
          <w:numId w:val="13"/>
        </w:numPr>
        <w:spacing w:line="280" w:lineRule="atLeast"/>
        <w:jc w:val="both"/>
        <w:rPr>
          <w:szCs w:val="22"/>
          <w:lang w:val="fr-FR"/>
        </w:rPr>
      </w:pPr>
      <w:r>
        <w:rPr>
          <w:rFonts w:eastAsiaTheme="minorEastAsia"/>
          <w:color w:val="0F1727"/>
          <w:lang w:val="fr-FR"/>
        </w:rPr>
        <w:t xml:space="preserve">Le portefeuille équipondéré </w:t>
      </w:r>
      <w:r w:rsidR="00885535">
        <w:rPr>
          <w:rFonts w:eastAsiaTheme="minorEastAsia"/>
          <w:color w:val="0F1727"/>
          <w:lang w:val="fr-FR"/>
        </w:rPr>
        <w:t xml:space="preserve">avec </w:t>
      </w:r>
      <w:r w:rsidR="00D770AD">
        <w:rPr>
          <w:rFonts w:eastAsiaTheme="minorEastAsia"/>
          <w:color w:val="0F1727"/>
          <w:lang w:val="fr-FR"/>
        </w:rPr>
        <w:t xml:space="preserve">toutes les </w:t>
      </w:r>
      <w:r w:rsidR="00E83042">
        <w:rPr>
          <w:rFonts w:eastAsiaTheme="minorEastAsia"/>
          <w:color w:val="0F1727"/>
          <w:lang w:val="fr-FR"/>
        </w:rPr>
        <w:t>SCPI</w:t>
      </w:r>
      <w:r w:rsidR="00D770AD">
        <w:rPr>
          <w:rFonts w:eastAsiaTheme="minorEastAsia"/>
          <w:color w:val="0F1727"/>
          <w:lang w:val="fr-FR"/>
        </w:rPr>
        <w:t xml:space="preserve"> </w:t>
      </w:r>
      <w:r w:rsidR="009E2780">
        <w:rPr>
          <w:rFonts w:eastAsiaTheme="minorEastAsia"/>
          <w:color w:val="0F1727"/>
          <w:lang w:val="fr-FR"/>
        </w:rPr>
        <w:t>étudiées</w:t>
      </w:r>
      <w:r w:rsidR="005B2754">
        <w:rPr>
          <w:rStyle w:val="Appelnotedebasdep"/>
          <w:rFonts w:eastAsiaTheme="minorEastAsia"/>
          <w:color w:val="0F1727"/>
        </w:rPr>
        <w:footnoteReference w:id="4"/>
      </w:r>
      <w:r w:rsidR="008C6B6B">
        <w:rPr>
          <w:rFonts w:eastAsiaTheme="minorEastAsia"/>
          <w:color w:val="0F1727"/>
          <w:lang w:val="fr-FR"/>
        </w:rPr>
        <w:t xml:space="preserve"> </w:t>
      </w:r>
      <w:r w:rsidR="0019679B">
        <w:rPr>
          <w:rFonts w:eastAsiaTheme="minorEastAsia"/>
          <w:color w:val="0F1727"/>
          <w:lang w:val="fr-FR"/>
        </w:rPr>
        <w:t>est en effet considérablement moins risqué que la « SCPI moyenne »</w:t>
      </w:r>
      <w:r w:rsidR="0034608F">
        <w:rPr>
          <w:rFonts w:eastAsiaTheme="minorEastAsia"/>
          <w:color w:val="0F1727"/>
          <w:lang w:val="fr-FR"/>
        </w:rPr>
        <w:t xml:space="preserve"> </w:t>
      </w:r>
      <w:r w:rsidR="00F56B64" w:rsidRPr="00371974">
        <w:rPr>
          <w:rFonts w:eastAsiaTheme="minorEastAsia"/>
          <w:color w:val="0F1727"/>
          <w:lang w:val="fr-FR"/>
        </w:rPr>
        <w:t>;</w:t>
      </w:r>
      <w:r w:rsidR="00E24E03" w:rsidRPr="00371974">
        <w:rPr>
          <w:rFonts w:eastAsiaTheme="minorEastAsia"/>
          <w:color w:val="0F1727"/>
          <w:lang w:val="fr-FR"/>
        </w:rPr>
        <w:t xml:space="preserve"> </w:t>
      </w:r>
      <w:r w:rsidR="009A2C69" w:rsidRPr="002378D7">
        <w:rPr>
          <w:rFonts w:eastAsiaTheme="minorEastAsia"/>
          <w:b/>
          <w:bCs/>
          <w:color w:val="0F1727"/>
          <w:lang w:val="fr-FR"/>
        </w:rPr>
        <w:t xml:space="preserve">il apparait </w:t>
      </w:r>
      <w:r w:rsidR="00B32F16" w:rsidRPr="002378D7">
        <w:rPr>
          <w:rFonts w:eastAsiaTheme="minorEastAsia"/>
          <w:b/>
          <w:bCs/>
          <w:color w:val="0F1727"/>
          <w:lang w:val="fr-FR"/>
        </w:rPr>
        <w:t xml:space="preserve">également </w:t>
      </w:r>
      <w:r w:rsidR="009A2C69" w:rsidRPr="002378D7">
        <w:rPr>
          <w:rFonts w:eastAsiaTheme="minorEastAsia"/>
          <w:b/>
          <w:bCs/>
          <w:color w:val="0F1727"/>
          <w:lang w:val="fr-FR"/>
        </w:rPr>
        <w:t xml:space="preserve">que </w:t>
      </w:r>
      <w:r w:rsidR="00CD438A" w:rsidRPr="002378D7">
        <w:rPr>
          <w:rFonts w:eastAsiaTheme="minorEastAsia"/>
          <w:b/>
          <w:bCs/>
          <w:color w:val="0F1727"/>
          <w:lang w:val="fr-FR"/>
        </w:rPr>
        <w:t xml:space="preserve">10 SCPI suffisent, en moyenne, à </w:t>
      </w:r>
      <w:r w:rsidR="00070938" w:rsidRPr="002378D7">
        <w:rPr>
          <w:rFonts w:eastAsiaTheme="minorEastAsia"/>
          <w:b/>
          <w:bCs/>
          <w:color w:val="0F1727"/>
          <w:lang w:val="fr-FR"/>
        </w:rPr>
        <w:t xml:space="preserve">récolter </w:t>
      </w:r>
      <w:r w:rsidR="00CD438A" w:rsidRPr="002378D7">
        <w:rPr>
          <w:rFonts w:eastAsiaTheme="minorEastAsia"/>
          <w:b/>
          <w:bCs/>
          <w:color w:val="0F1727"/>
          <w:lang w:val="fr-FR"/>
        </w:rPr>
        <w:t>88% des bénéfices de la diversification</w:t>
      </w:r>
      <w:r w:rsidR="0034608F">
        <w:rPr>
          <w:rFonts w:eastAsiaTheme="minorEastAsia"/>
          <w:b/>
          <w:bCs/>
          <w:color w:val="0F1727"/>
          <w:lang w:val="fr-FR"/>
        </w:rPr>
        <w:t xml:space="preserve"> </w:t>
      </w:r>
      <w:r w:rsidR="004D170E" w:rsidRPr="00371974">
        <w:rPr>
          <w:rFonts w:eastAsiaTheme="minorEastAsia"/>
          <w:color w:val="0F1727"/>
          <w:lang w:val="fr-FR"/>
        </w:rPr>
        <w:t xml:space="preserve">: </w:t>
      </w:r>
      <w:r w:rsidR="00A659D1">
        <w:rPr>
          <w:rFonts w:eastAsiaTheme="minorEastAsia"/>
          <w:color w:val="0F1727"/>
          <w:lang w:val="fr-FR"/>
        </w:rPr>
        <w:t xml:space="preserve">ainsi </w:t>
      </w:r>
      <w:r w:rsidR="009A2C69" w:rsidRPr="00371974">
        <w:rPr>
          <w:szCs w:val="22"/>
          <w:lang w:val="fr-FR"/>
        </w:rPr>
        <w:t xml:space="preserve">l’élimination de plus de </w:t>
      </w:r>
      <w:r w:rsidR="00A659D1">
        <w:rPr>
          <w:szCs w:val="22"/>
          <w:lang w:val="fr-FR"/>
        </w:rPr>
        <w:t>8</w:t>
      </w:r>
      <w:r w:rsidR="00A659D1" w:rsidRPr="00371974">
        <w:rPr>
          <w:szCs w:val="22"/>
          <w:lang w:val="fr-FR"/>
        </w:rPr>
        <w:t>0 </w:t>
      </w:r>
      <w:r w:rsidR="009A2C69" w:rsidRPr="00371974">
        <w:rPr>
          <w:szCs w:val="22"/>
          <w:lang w:val="fr-FR"/>
        </w:rPr>
        <w:t xml:space="preserve">% de la population </w:t>
      </w:r>
      <w:r w:rsidR="00D770AD">
        <w:rPr>
          <w:szCs w:val="22"/>
          <w:lang w:val="fr-FR"/>
        </w:rPr>
        <w:t xml:space="preserve">de SCPI </w:t>
      </w:r>
      <w:r w:rsidR="009A2C69" w:rsidRPr="00371974">
        <w:rPr>
          <w:szCs w:val="22"/>
          <w:lang w:val="fr-FR"/>
        </w:rPr>
        <w:t>ne réduit pas sensiblement, en moyenne, les avantages de l</w:t>
      </w:r>
      <w:r w:rsidR="00E52F5C">
        <w:rPr>
          <w:szCs w:val="22"/>
          <w:lang w:val="fr-FR"/>
        </w:rPr>
        <w:t>’</w:t>
      </w:r>
      <w:r w:rsidR="009A2C69" w:rsidRPr="00371974">
        <w:rPr>
          <w:szCs w:val="22"/>
          <w:lang w:val="fr-FR"/>
        </w:rPr>
        <w:t>allocation d</w:t>
      </w:r>
      <w:r w:rsidR="0098714D">
        <w:rPr>
          <w:szCs w:val="22"/>
          <w:lang w:val="fr-FR"/>
        </w:rPr>
        <w:t>e</w:t>
      </w:r>
      <w:r w:rsidR="009A2C69" w:rsidRPr="00371974">
        <w:rPr>
          <w:szCs w:val="22"/>
          <w:lang w:val="fr-FR"/>
        </w:rPr>
        <w:t xml:space="preserve"> portefeuille pour les investisseurs</w:t>
      </w:r>
      <w:r w:rsidR="00E52F5C">
        <w:rPr>
          <w:szCs w:val="22"/>
          <w:lang w:val="fr-FR"/>
        </w:rPr>
        <w:t xml:space="preserve"> </w:t>
      </w:r>
      <w:r w:rsidR="009A2C69" w:rsidRPr="00371974">
        <w:rPr>
          <w:szCs w:val="22"/>
          <w:lang w:val="fr-FR"/>
        </w:rPr>
        <w:t>;</w:t>
      </w:r>
    </w:p>
    <w:p w14:paraId="3642F7B1" w14:textId="42FDE6F2" w:rsidR="0078214B" w:rsidRPr="00371974" w:rsidRDefault="00FE4108" w:rsidP="009A2C69">
      <w:pPr>
        <w:pStyle w:val="Paragraphedeliste"/>
        <w:numPr>
          <w:ilvl w:val="0"/>
          <w:numId w:val="13"/>
        </w:numPr>
        <w:spacing w:line="280" w:lineRule="atLeast"/>
        <w:jc w:val="both"/>
        <w:rPr>
          <w:szCs w:val="22"/>
          <w:lang w:val="fr-FR"/>
        </w:rPr>
      </w:pPr>
      <w:r>
        <w:rPr>
          <w:lang w:val="fr-FR" w:bidi="en-US"/>
        </w:rPr>
        <w:t>L</w:t>
      </w:r>
      <w:r w:rsidRPr="00371974">
        <w:rPr>
          <w:lang w:val="fr-FR" w:bidi="en-US"/>
        </w:rPr>
        <w:t xml:space="preserve">a </w:t>
      </w:r>
      <w:r w:rsidR="009A2C69" w:rsidRPr="00371974">
        <w:rPr>
          <w:lang w:val="fr-FR" w:bidi="en-US"/>
        </w:rPr>
        <w:t xml:space="preserve">mise en œuvre d’une forte diversification sur des </w:t>
      </w:r>
      <w:r>
        <w:rPr>
          <w:lang w:val="fr-FR" w:bidi="en-US"/>
        </w:rPr>
        <w:t xml:space="preserve">fonds </w:t>
      </w:r>
      <w:r w:rsidR="009A2C69" w:rsidRPr="00371974">
        <w:rPr>
          <w:lang w:val="fr-FR" w:bidi="en-US"/>
        </w:rPr>
        <w:t xml:space="preserve">immobiliers peu liquides peut </w:t>
      </w:r>
      <w:r>
        <w:rPr>
          <w:lang w:val="fr-FR" w:bidi="en-US"/>
        </w:rPr>
        <w:t xml:space="preserve">néanmoins </w:t>
      </w:r>
      <w:r w:rsidR="009A2C69" w:rsidRPr="00371974">
        <w:rPr>
          <w:lang w:val="fr-FR" w:bidi="en-US"/>
        </w:rPr>
        <w:t>engendrer des coûts supplémentaires de transaction tendant à réduire voire à faire disparaître le bénéfice de la diversification au-delà d’un certain nombre de SCPI en portefeuille</w:t>
      </w:r>
      <w:r w:rsidR="0078214B" w:rsidRPr="00371974">
        <w:rPr>
          <w:lang w:val="fr-FR" w:bidi="en-US"/>
        </w:rPr>
        <w:t>.</w:t>
      </w:r>
    </w:p>
    <w:p w14:paraId="29021053" w14:textId="77777777" w:rsidR="00BF78F2" w:rsidRPr="00371974" w:rsidRDefault="00BF78F2" w:rsidP="00813442">
      <w:pPr>
        <w:spacing w:line="280" w:lineRule="atLeast"/>
        <w:jc w:val="both"/>
        <w:rPr>
          <w:snapToGrid w:val="0"/>
          <w:color w:val="000000"/>
          <w:szCs w:val="22"/>
          <w:lang w:val="fr-FR"/>
        </w:rPr>
      </w:pPr>
    </w:p>
    <w:p w14:paraId="39498AFA" w14:textId="076A2D73" w:rsidR="00813442" w:rsidRPr="00371974" w:rsidRDefault="0014784E" w:rsidP="00115192">
      <w:pPr>
        <w:spacing w:line="280" w:lineRule="atLeast"/>
        <w:jc w:val="both"/>
        <w:rPr>
          <w:i/>
          <w:iCs/>
          <w:szCs w:val="22"/>
          <w:lang w:val="fr-FR"/>
        </w:rPr>
      </w:pPr>
      <w:r w:rsidRPr="00371974">
        <w:rPr>
          <w:i/>
          <w:iCs/>
          <w:szCs w:val="22"/>
          <w:lang w:val="fr-FR"/>
        </w:rPr>
        <w:t>ATTRIBUT</w:t>
      </w:r>
      <w:r w:rsidR="00115192" w:rsidRPr="00371974">
        <w:rPr>
          <w:i/>
          <w:iCs/>
          <w:szCs w:val="22"/>
          <w:lang w:val="fr-FR"/>
        </w:rPr>
        <w:t xml:space="preserve">S </w:t>
      </w:r>
      <w:r w:rsidR="003E09C3">
        <w:rPr>
          <w:i/>
          <w:iCs/>
          <w:szCs w:val="22"/>
          <w:lang w:val="fr-FR"/>
        </w:rPr>
        <w:t xml:space="preserve">CANDIDATS </w:t>
      </w:r>
      <w:r w:rsidR="00C811B4">
        <w:rPr>
          <w:i/>
          <w:iCs/>
          <w:szCs w:val="22"/>
          <w:lang w:val="fr-FR"/>
        </w:rPr>
        <w:t xml:space="preserve">POTENTIELS </w:t>
      </w:r>
      <w:r w:rsidR="00017328">
        <w:rPr>
          <w:i/>
          <w:iCs/>
          <w:szCs w:val="22"/>
          <w:lang w:val="fr-FR"/>
        </w:rPr>
        <w:t xml:space="preserve">POUR </w:t>
      </w:r>
      <w:r w:rsidRPr="00371974">
        <w:rPr>
          <w:i/>
          <w:iCs/>
          <w:szCs w:val="22"/>
          <w:lang w:val="fr-FR"/>
        </w:rPr>
        <w:t>LA SELECTION DES</w:t>
      </w:r>
      <w:r w:rsidR="00115192" w:rsidRPr="00371974">
        <w:rPr>
          <w:i/>
          <w:iCs/>
          <w:szCs w:val="22"/>
          <w:lang w:val="fr-FR"/>
        </w:rPr>
        <w:t xml:space="preserve"> SCPI</w:t>
      </w:r>
    </w:p>
    <w:p w14:paraId="4524849D" w14:textId="0286F68E" w:rsidR="006978A3" w:rsidRPr="00371974" w:rsidRDefault="006978A3" w:rsidP="00115192">
      <w:pPr>
        <w:spacing w:line="280" w:lineRule="atLeast"/>
        <w:jc w:val="both"/>
        <w:rPr>
          <w:szCs w:val="22"/>
          <w:lang w:val="fr-FR"/>
        </w:rPr>
      </w:pPr>
    </w:p>
    <w:p w14:paraId="39E0A0CD" w14:textId="4DC28CAA" w:rsidR="0014784E" w:rsidRPr="00371974" w:rsidRDefault="0014784E" w:rsidP="0001354B">
      <w:pPr>
        <w:spacing w:line="280" w:lineRule="atLeast"/>
        <w:jc w:val="both"/>
        <w:rPr>
          <w:szCs w:val="22"/>
          <w:lang w:val="fr-FR"/>
        </w:rPr>
      </w:pPr>
      <w:r w:rsidRPr="00371974">
        <w:rPr>
          <w:szCs w:val="22"/>
          <w:lang w:val="fr-FR"/>
        </w:rPr>
        <w:t xml:space="preserve">L’analyse porte sur huit attributs propres aux SCPI, </w:t>
      </w:r>
      <w:r w:rsidR="001A7093">
        <w:rPr>
          <w:szCs w:val="22"/>
          <w:lang w:val="fr-FR"/>
        </w:rPr>
        <w:t xml:space="preserve">parmi lesquels </w:t>
      </w:r>
      <w:r w:rsidRPr="00371974">
        <w:rPr>
          <w:szCs w:val="22"/>
          <w:lang w:val="fr-FR"/>
        </w:rPr>
        <w:t xml:space="preserve">les auteurs identifient trois </w:t>
      </w:r>
      <w:r w:rsidR="00100EF4" w:rsidRPr="00371974">
        <w:rPr>
          <w:szCs w:val="22"/>
          <w:lang w:val="fr-FR"/>
        </w:rPr>
        <w:t>can</w:t>
      </w:r>
      <w:r w:rsidR="00A735E2" w:rsidRPr="00371974">
        <w:rPr>
          <w:szCs w:val="22"/>
          <w:lang w:val="fr-FR"/>
        </w:rPr>
        <w:t>d</w:t>
      </w:r>
      <w:r w:rsidR="00100EF4" w:rsidRPr="00371974">
        <w:rPr>
          <w:szCs w:val="22"/>
          <w:lang w:val="fr-FR"/>
        </w:rPr>
        <w:t xml:space="preserve">idats </w:t>
      </w:r>
      <w:r w:rsidRPr="00371974">
        <w:rPr>
          <w:szCs w:val="22"/>
          <w:lang w:val="fr-FR"/>
        </w:rPr>
        <w:t>spécifiques qui pourraient aider à expliquer les différences en matière de risque et de rendement</w:t>
      </w:r>
      <w:r w:rsidR="00FB77B6">
        <w:rPr>
          <w:szCs w:val="22"/>
          <w:lang w:val="fr-FR"/>
        </w:rPr>
        <w:t xml:space="preserve"> entre les SCPI</w:t>
      </w:r>
      <w:r w:rsidR="00E52F5C">
        <w:rPr>
          <w:szCs w:val="22"/>
          <w:lang w:val="fr-FR"/>
        </w:rPr>
        <w:t xml:space="preserve"> </w:t>
      </w:r>
      <w:r w:rsidRPr="00371974">
        <w:rPr>
          <w:szCs w:val="22"/>
          <w:lang w:val="fr-FR"/>
        </w:rPr>
        <w:t>:</w:t>
      </w:r>
    </w:p>
    <w:p w14:paraId="7897A990" w14:textId="77777777" w:rsidR="0014784E" w:rsidRPr="00371974" w:rsidRDefault="0014784E" w:rsidP="0001354B">
      <w:pPr>
        <w:spacing w:line="280" w:lineRule="atLeast"/>
        <w:jc w:val="both"/>
        <w:rPr>
          <w:szCs w:val="22"/>
          <w:lang w:val="fr-FR"/>
        </w:rPr>
      </w:pPr>
    </w:p>
    <w:p w14:paraId="17C5128F" w14:textId="3B9B2BB3" w:rsidR="006978A3" w:rsidRPr="00371974" w:rsidRDefault="00E61948" w:rsidP="00E91380">
      <w:pPr>
        <w:pStyle w:val="Paragraphedeliste"/>
        <w:numPr>
          <w:ilvl w:val="0"/>
          <w:numId w:val="14"/>
        </w:numPr>
        <w:spacing w:line="280" w:lineRule="atLeast"/>
        <w:jc w:val="both"/>
        <w:rPr>
          <w:szCs w:val="22"/>
          <w:lang w:val="fr-FR"/>
        </w:rPr>
      </w:pPr>
      <w:r>
        <w:rPr>
          <w:b/>
          <w:lang w:val="fr-FR" w:bidi="en-US"/>
        </w:rPr>
        <w:t>Attribut</w:t>
      </w:r>
      <w:r w:rsidRPr="00371974">
        <w:rPr>
          <w:b/>
          <w:lang w:val="fr-FR" w:bidi="en-US"/>
        </w:rPr>
        <w:t xml:space="preserve"> </w:t>
      </w:r>
      <w:r w:rsidR="0014784E" w:rsidRPr="00371974">
        <w:rPr>
          <w:b/>
          <w:lang w:val="fr-FR" w:bidi="en-US"/>
        </w:rPr>
        <w:t xml:space="preserve">« taille » </w:t>
      </w:r>
      <w:r w:rsidR="00CB6353" w:rsidRPr="00371974">
        <w:rPr>
          <w:lang w:val="fr-FR" w:bidi="en-US"/>
        </w:rPr>
        <w:t>(</w:t>
      </w:r>
      <w:r w:rsidR="0014784E" w:rsidRPr="00371974">
        <w:rPr>
          <w:lang w:val="fr-FR" w:bidi="en-US"/>
        </w:rPr>
        <w:t xml:space="preserve">classement des </w:t>
      </w:r>
      <w:r w:rsidR="00CB6353" w:rsidRPr="00371974">
        <w:rPr>
          <w:lang w:val="fr-FR" w:bidi="en-US"/>
        </w:rPr>
        <w:t xml:space="preserve">SCPI </w:t>
      </w:r>
      <w:r w:rsidR="0014784E" w:rsidRPr="00371974">
        <w:rPr>
          <w:lang w:val="fr-FR" w:bidi="en-US"/>
        </w:rPr>
        <w:t>par</w:t>
      </w:r>
      <w:r w:rsidR="00CB6353" w:rsidRPr="00371974">
        <w:rPr>
          <w:lang w:val="fr-FR" w:bidi="en-US"/>
        </w:rPr>
        <w:t xml:space="preserve"> </w:t>
      </w:r>
      <w:r w:rsidR="0008711D" w:rsidRPr="00371974">
        <w:rPr>
          <w:lang w:val="fr-FR" w:bidi="en-US"/>
        </w:rPr>
        <w:t>capitalisation</w:t>
      </w:r>
      <w:r w:rsidR="00CB6353" w:rsidRPr="00371974">
        <w:rPr>
          <w:lang w:val="fr-FR" w:bidi="en-US"/>
        </w:rPr>
        <w:t>)</w:t>
      </w:r>
      <w:r w:rsidR="00AF41E9" w:rsidRPr="00371974">
        <w:rPr>
          <w:lang w:val="fr-FR" w:bidi="en-US"/>
        </w:rPr>
        <w:t xml:space="preserve"> </w:t>
      </w:r>
      <w:r w:rsidR="00CB6353" w:rsidRPr="00371974">
        <w:rPr>
          <w:lang w:val="fr-FR" w:bidi="en-US"/>
        </w:rPr>
        <w:t xml:space="preserve">: </w:t>
      </w:r>
      <w:r w:rsidR="00E91380" w:rsidRPr="00371974">
        <w:rPr>
          <w:lang w:val="fr-FR" w:bidi="en-US"/>
        </w:rPr>
        <w:t>les petites capitalisations ont surperformé les grandes capitalisations</w:t>
      </w:r>
      <w:r w:rsidR="00CC3B60">
        <w:rPr>
          <w:lang w:val="fr-FR" w:bidi="en-US"/>
        </w:rPr>
        <w:t xml:space="preserve"> sur la période </w:t>
      </w:r>
      <w:r w:rsidR="00AC007F">
        <w:rPr>
          <w:lang w:val="fr-FR" w:bidi="en-US"/>
        </w:rPr>
        <w:t>étudiée (2003-2019)</w:t>
      </w:r>
      <w:r w:rsidR="00E52F5C">
        <w:rPr>
          <w:lang w:val="fr-FR" w:bidi="en-US"/>
        </w:rPr>
        <w:t xml:space="preserve"> </w:t>
      </w:r>
      <w:r w:rsidR="00CB6353" w:rsidRPr="00371974">
        <w:rPr>
          <w:lang w:val="fr-FR" w:bidi="en-US"/>
        </w:rPr>
        <w:t>;</w:t>
      </w:r>
    </w:p>
    <w:p w14:paraId="5A0F6E79" w14:textId="4EAA5EB0" w:rsidR="00E91380" w:rsidRPr="00371974" w:rsidRDefault="00E61948" w:rsidP="00A34728">
      <w:pPr>
        <w:pStyle w:val="Paragraphedeliste"/>
        <w:numPr>
          <w:ilvl w:val="0"/>
          <w:numId w:val="14"/>
        </w:numPr>
        <w:spacing w:line="280" w:lineRule="atLeast"/>
        <w:jc w:val="both"/>
        <w:rPr>
          <w:szCs w:val="22"/>
          <w:lang w:val="fr-FR"/>
        </w:rPr>
      </w:pPr>
      <w:r>
        <w:rPr>
          <w:b/>
          <w:lang w:val="fr-FR" w:bidi="en-US"/>
        </w:rPr>
        <w:t xml:space="preserve">Attribut </w:t>
      </w:r>
      <w:r w:rsidR="00E91380" w:rsidRPr="00371974">
        <w:rPr>
          <w:b/>
          <w:lang w:val="fr-FR" w:bidi="en-US"/>
        </w:rPr>
        <w:t>« volatilité »</w:t>
      </w:r>
      <w:r w:rsidR="00CB6353" w:rsidRPr="00371974">
        <w:rPr>
          <w:lang w:val="fr-FR" w:bidi="en-US"/>
        </w:rPr>
        <w:t xml:space="preserve"> (</w:t>
      </w:r>
      <w:r w:rsidR="0008711D" w:rsidRPr="00371974">
        <w:rPr>
          <w:lang w:val="fr-FR" w:bidi="en-US"/>
        </w:rPr>
        <w:t xml:space="preserve">classement des SCPI </w:t>
      </w:r>
      <w:r w:rsidR="000D1AD3">
        <w:rPr>
          <w:lang w:val="fr-FR" w:bidi="en-US"/>
        </w:rPr>
        <w:t>par volatilité</w:t>
      </w:r>
      <w:r w:rsidR="005E3F91">
        <w:rPr>
          <w:lang w:val="fr-FR" w:bidi="en-US"/>
        </w:rPr>
        <w:t xml:space="preserve"> historique</w:t>
      </w:r>
      <w:r w:rsidR="00CB6353" w:rsidRPr="00371974">
        <w:rPr>
          <w:lang w:val="fr-FR" w:bidi="en-US"/>
        </w:rPr>
        <w:t>)</w:t>
      </w:r>
      <w:r w:rsidR="00E52F5C">
        <w:rPr>
          <w:lang w:val="fr-FR" w:bidi="en-US"/>
        </w:rPr>
        <w:t xml:space="preserve"> </w:t>
      </w:r>
      <w:r w:rsidR="00CB6353" w:rsidRPr="00371974">
        <w:rPr>
          <w:lang w:val="fr-FR" w:bidi="en-US"/>
        </w:rPr>
        <w:t xml:space="preserve">: </w:t>
      </w:r>
      <w:r w:rsidR="00E91380" w:rsidRPr="00371974">
        <w:rPr>
          <w:szCs w:val="22"/>
          <w:lang w:val="fr-FR"/>
        </w:rPr>
        <w:t xml:space="preserve">les SCPI à « faible volatilité » ont généré une performance ajustée du risque bien supérieure </w:t>
      </w:r>
      <w:r w:rsidR="008F228F">
        <w:rPr>
          <w:szCs w:val="22"/>
          <w:lang w:val="fr-FR"/>
        </w:rPr>
        <w:t xml:space="preserve">à celle des </w:t>
      </w:r>
      <w:r w:rsidR="00E91380" w:rsidRPr="00371974">
        <w:rPr>
          <w:szCs w:val="22"/>
          <w:lang w:val="fr-FR"/>
        </w:rPr>
        <w:t>SCPI à plus « forte volatilité</w:t>
      </w:r>
      <w:r w:rsidR="006B09C0">
        <w:rPr>
          <w:szCs w:val="22"/>
          <w:lang w:val="fr-FR"/>
        </w:rPr>
        <w:t> »</w:t>
      </w:r>
      <w:r w:rsidR="00E52F5C">
        <w:rPr>
          <w:szCs w:val="22"/>
          <w:lang w:val="fr-FR"/>
        </w:rPr>
        <w:t xml:space="preserve"> </w:t>
      </w:r>
      <w:r w:rsidR="00E91380" w:rsidRPr="00371974">
        <w:rPr>
          <w:szCs w:val="22"/>
          <w:lang w:val="fr-FR"/>
        </w:rPr>
        <w:t xml:space="preserve">;  </w:t>
      </w:r>
    </w:p>
    <w:p w14:paraId="7FE94777" w14:textId="78FF670B" w:rsidR="00DF0D6E" w:rsidRPr="00371974" w:rsidRDefault="006E2546" w:rsidP="00CD438A">
      <w:pPr>
        <w:pStyle w:val="Paragraphedeliste"/>
        <w:numPr>
          <w:ilvl w:val="0"/>
          <w:numId w:val="14"/>
        </w:numPr>
        <w:spacing w:line="280" w:lineRule="atLeast"/>
        <w:jc w:val="both"/>
        <w:rPr>
          <w:szCs w:val="22"/>
          <w:lang w:val="fr-FR"/>
        </w:rPr>
      </w:pPr>
      <w:r>
        <w:rPr>
          <w:b/>
          <w:szCs w:val="22"/>
          <w:lang w:val="fr-FR"/>
        </w:rPr>
        <w:t xml:space="preserve">Attribut </w:t>
      </w:r>
      <w:r w:rsidR="00551BD6">
        <w:rPr>
          <w:b/>
          <w:szCs w:val="22"/>
          <w:lang w:val="fr-FR"/>
        </w:rPr>
        <w:t>« performances passées »</w:t>
      </w:r>
      <w:r w:rsidR="00E52F5C">
        <w:rPr>
          <w:b/>
          <w:szCs w:val="22"/>
          <w:lang w:val="fr-FR"/>
        </w:rPr>
        <w:t xml:space="preserve"> </w:t>
      </w:r>
      <w:r w:rsidR="00CB6353" w:rsidRPr="00371974">
        <w:rPr>
          <w:szCs w:val="22"/>
          <w:lang w:val="fr-FR"/>
        </w:rPr>
        <w:t>:</w:t>
      </w:r>
      <w:r w:rsidR="00611A3B" w:rsidRPr="00371974">
        <w:rPr>
          <w:lang w:val="fr-FR"/>
        </w:rPr>
        <w:t xml:space="preserve"> </w:t>
      </w:r>
      <w:r w:rsidR="008F67CC">
        <w:rPr>
          <w:lang w:val="fr-FR"/>
        </w:rPr>
        <w:t xml:space="preserve">historiquement, </w:t>
      </w:r>
      <w:r w:rsidR="00CD438A" w:rsidRPr="00371974">
        <w:rPr>
          <w:szCs w:val="22"/>
          <w:lang w:val="fr-FR"/>
        </w:rPr>
        <w:t xml:space="preserve">les SCPI dites « perdantes » </w:t>
      </w:r>
      <w:r w:rsidR="007045F9">
        <w:rPr>
          <w:szCs w:val="22"/>
          <w:lang w:val="fr-FR"/>
        </w:rPr>
        <w:t xml:space="preserve">dans le passé </w:t>
      </w:r>
      <w:r w:rsidR="00CD438A" w:rsidRPr="00371974">
        <w:rPr>
          <w:szCs w:val="22"/>
          <w:lang w:val="fr-FR"/>
        </w:rPr>
        <w:t xml:space="preserve">ont </w:t>
      </w:r>
      <w:r w:rsidR="007045F9">
        <w:rPr>
          <w:szCs w:val="22"/>
          <w:lang w:val="fr-FR"/>
        </w:rPr>
        <w:t xml:space="preserve">eu </w:t>
      </w:r>
      <w:r w:rsidR="00CD438A" w:rsidRPr="00371974">
        <w:rPr>
          <w:szCs w:val="22"/>
          <w:lang w:val="fr-FR"/>
        </w:rPr>
        <w:t>plus de chance de rester dans cette même catégorie</w:t>
      </w:r>
      <w:r w:rsidR="00770BCE">
        <w:rPr>
          <w:szCs w:val="22"/>
          <w:lang w:val="fr-FR"/>
        </w:rPr>
        <w:t xml:space="preserve"> par la suite</w:t>
      </w:r>
      <w:r w:rsidR="00CD438A" w:rsidRPr="00371974">
        <w:rPr>
          <w:szCs w:val="22"/>
          <w:lang w:val="fr-FR"/>
        </w:rPr>
        <w:t>.</w:t>
      </w:r>
    </w:p>
    <w:p w14:paraId="1E16AB1A" w14:textId="77777777" w:rsidR="00CD438A" w:rsidRPr="00371974" w:rsidRDefault="00CD438A" w:rsidP="00CD438A">
      <w:pPr>
        <w:pStyle w:val="Paragraphedeliste"/>
        <w:spacing w:line="280" w:lineRule="atLeast"/>
        <w:jc w:val="both"/>
        <w:rPr>
          <w:szCs w:val="22"/>
          <w:lang w:val="fr-FR"/>
        </w:rPr>
      </w:pPr>
    </w:p>
    <w:p w14:paraId="7981C51C" w14:textId="11507287" w:rsidR="00A735E2" w:rsidRPr="00371974" w:rsidRDefault="00A735E2" w:rsidP="00927623">
      <w:pPr>
        <w:spacing w:line="280" w:lineRule="atLeast"/>
        <w:jc w:val="both"/>
        <w:rPr>
          <w:szCs w:val="22"/>
          <w:lang w:val="fr-FR"/>
        </w:rPr>
      </w:pPr>
      <w:r w:rsidRPr="00371974">
        <w:rPr>
          <w:szCs w:val="22"/>
          <w:lang w:val="fr-FR"/>
        </w:rPr>
        <w:t xml:space="preserve">Bien que d’autres </w:t>
      </w:r>
      <w:r w:rsidR="00B30C4F">
        <w:rPr>
          <w:szCs w:val="22"/>
          <w:lang w:val="fr-FR"/>
        </w:rPr>
        <w:t xml:space="preserve">travaux de </w:t>
      </w:r>
      <w:r w:rsidRPr="00371974">
        <w:rPr>
          <w:szCs w:val="22"/>
          <w:lang w:val="fr-FR"/>
        </w:rPr>
        <w:t xml:space="preserve">recherche </w:t>
      </w:r>
      <w:r w:rsidR="00B30C4F">
        <w:rPr>
          <w:szCs w:val="22"/>
          <w:lang w:val="fr-FR"/>
        </w:rPr>
        <w:t xml:space="preserve">soient </w:t>
      </w:r>
      <w:r w:rsidRPr="00371974">
        <w:rPr>
          <w:szCs w:val="22"/>
          <w:lang w:val="fr-FR"/>
        </w:rPr>
        <w:t xml:space="preserve">nécessaires pour valider </w:t>
      </w:r>
      <w:r w:rsidR="00BF1172">
        <w:rPr>
          <w:szCs w:val="22"/>
          <w:lang w:val="fr-FR"/>
        </w:rPr>
        <w:t xml:space="preserve">formellement </w:t>
      </w:r>
      <w:r w:rsidRPr="00371974">
        <w:rPr>
          <w:szCs w:val="22"/>
          <w:lang w:val="fr-FR"/>
        </w:rPr>
        <w:t xml:space="preserve">les trois candidats retenus (y compris des tests rigoureux hors échantillon et une analyse des états financiers des SCPI), les résultats actuels </w:t>
      </w:r>
      <w:r w:rsidR="005C4DA1" w:rsidRPr="00371974">
        <w:rPr>
          <w:szCs w:val="22"/>
          <w:lang w:val="fr-FR"/>
        </w:rPr>
        <w:t>montrent</w:t>
      </w:r>
      <w:r w:rsidRPr="00371974">
        <w:rPr>
          <w:szCs w:val="22"/>
          <w:lang w:val="fr-FR"/>
        </w:rPr>
        <w:t xml:space="preserve"> qu</w:t>
      </w:r>
      <w:r w:rsidR="00916229">
        <w:rPr>
          <w:szCs w:val="22"/>
          <w:lang w:val="fr-FR"/>
        </w:rPr>
        <w:t xml:space="preserve">’un </w:t>
      </w:r>
      <w:r w:rsidR="00916229" w:rsidRPr="002378D7">
        <w:rPr>
          <w:b/>
          <w:bCs/>
          <w:szCs w:val="22"/>
          <w:lang w:val="fr-FR"/>
        </w:rPr>
        <w:t>processus approprié de</w:t>
      </w:r>
      <w:r w:rsidR="00916229">
        <w:rPr>
          <w:szCs w:val="22"/>
          <w:lang w:val="fr-FR"/>
        </w:rPr>
        <w:t xml:space="preserve"> </w:t>
      </w:r>
      <w:r w:rsidR="00916229" w:rsidRPr="002378D7">
        <w:rPr>
          <w:b/>
          <w:bCs/>
          <w:szCs w:val="22"/>
          <w:lang w:val="fr-FR"/>
        </w:rPr>
        <w:t xml:space="preserve">sélection </w:t>
      </w:r>
      <w:r w:rsidR="00707516" w:rsidRPr="002378D7">
        <w:rPr>
          <w:b/>
          <w:bCs/>
          <w:szCs w:val="22"/>
          <w:lang w:val="fr-FR"/>
        </w:rPr>
        <w:t xml:space="preserve">des SCPI serait susceptible d’apporter de la valeur </w:t>
      </w:r>
      <w:r w:rsidR="00202CCD" w:rsidRPr="002378D7">
        <w:rPr>
          <w:b/>
          <w:bCs/>
          <w:szCs w:val="22"/>
          <w:lang w:val="fr-FR"/>
        </w:rPr>
        <w:t>aux investisseurs</w:t>
      </w:r>
      <w:r w:rsidRPr="00371974">
        <w:rPr>
          <w:szCs w:val="22"/>
          <w:lang w:val="fr-FR"/>
        </w:rPr>
        <w:t>.</w:t>
      </w:r>
    </w:p>
    <w:p w14:paraId="45E3637C" w14:textId="77777777" w:rsidR="0001354B" w:rsidRPr="00371974" w:rsidRDefault="0001354B" w:rsidP="00BF78F2">
      <w:pPr>
        <w:jc w:val="both"/>
        <w:rPr>
          <w:lang w:val="fr-FR" w:bidi="en-US"/>
        </w:rPr>
      </w:pPr>
    </w:p>
    <w:p w14:paraId="4B71B206" w14:textId="2A1F4EF2" w:rsidR="00E73384" w:rsidRPr="00371974" w:rsidRDefault="00E73384" w:rsidP="00D569E3">
      <w:pPr>
        <w:spacing w:line="280" w:lineRule="atLeast"/>
        <w:jc w:val="both"/>
        <w:rPr>
          <w:rFonts w:cs="Arial"/>
          <w:b/>
          <w:szCs w:val="22"/>
          <w:lang w:val="fr-FR"/>
        </w:rPr>
      </w:pPr>
      <w:r w:rsidRPr="00371974">
        <w:rPr>
          <w:rFonts w:cs="Arial"/>
          <w:b/>
          <w:szCs w:val="22"/>
          <w:lang w:val="fr-FR"/>
        </w:rPr>
        <w:t xml:space="preserve">Dans l’ensemble, les résultats suggèrent que </w:t>
      </w:r>
      <w:r w:rsidR="00B17E87">
        <w:rPr>
          <w:rFonts w:cs="Arial"/>
          <w:b/>
          <w:szCs w:val="22"/>
          <w:lang w:val="fr-FR"/>
        </w:rPr>
        <w:t xml:space="preserve">les </w:t>
      </w:r>
      <w:r w:rsidR="00100EF4" w:rsidRPr="00371974">
        <w:rPr>
          <w:rFonts w:cs="Arial"/>
          <w:b/>
          <w:szCs w:val="22"/>
          <w:lang w:val="fr-FR"/>
        </w:rPr>
        <w:t xml:space="preserve">décisions de sélection et d'allocation </w:t>
      </w:r>
      <w:r w:rsidR="00B17E87">
        <w:rPr>
          <w:rFonts w:cs="Arial"/>
          <w:b/>
          <w:szCs w:val="22"/>
          <w:lang w:val="fr-FR"/>
        </w:rPr>
        <w:t xml:space="preserve">sont sources </w:t>
      </w:r>
      <w:r w:rsidR="00100EF4" w:rsidRPr="00371974">
        <w:rPr>
          <w:rFonts w:cs="Arial"/>
          <w:b/>
          <w:szCs w:val="22"/>
          <w:lang w:val="fr-FR"/>
        </w:rPr>
        <w:t>de valeur ajoutée</w:t>
      </w:r>
      <w:r w:rsidR="00781599">
        <w:rPr>
          <w:rFonts w:cs="Arial"/>
          <w:b/>
          <w:szCs w:val="22"/>
          <w:lang w:val="fr-FR"/>
        </w:rPr>
        <w:t xml:space="preserve"> et d’amélioration de la rentabilité ajustée du risque</w:t>
      </w:r>
      <w:r w:rsidRPr="00371974">
        <w:rPr>
          <w:rFonts w:cs="Arial"/>
          <w:b/>
          <w:szCs w:val="22"/>
          <w:lang w:val="fr-FR"/>
        </w:rPr>
        <w:t xml:space="preserve">, </w:t>
      </w:r>
      <w:r w:rsidR="003949A1">
        <w:rPr>
          <w:rFonts w:cs="Arial"/>
          <w:b/>
          <w:szCs w:val="22"/>
          <w:lang w:val="fr-FR"/>
        </w:rPr>
        <w:t xml:space="preserve">et pourraient constituer le socle </w:t>
      </w:r>
      <w:r w:rsidR="00A90398">
        <w:rPr>
          <w:rFonts w:cs="Arial"/>
          <w:b/>
          <w:szCs w:val="22"/>
          <w:lang w:val="fr-FR"/>
        </w:rPr>
        <w:t xml:space="preserve">d’une approche multi-gestion </w:t>
      </w:r>
      <w:r w:rsidR="00A607B8">
        <w:rPr>
          <w:rFonts w:cs="Arial"/>
          <w:b/>
          <w:szCs w:val="22"/>
          <w:lang w:val="fr-FR"/>
        </w:rPr>
        <w:t xml:space="preserve">des SCPI </w:t>
      </w:r>
      <w:r w:rsidR="00A90398">
        <w:rPr>
          <w:rFonts w:cs="Arial"/>
          <w:b/>
          <w:szCs w:val="22"/>
          <w:lang w:val="fr-FR"/>
        </w:rPr>
        <w:t>en architecture ouverte</w:t>
      </w:r>
      <w:r w:rsidR="000E585D" w:rsidRPr="00371974">
        <w:rPr>
          <w:rFonts w:cs="Arial"/>
          <w:b/>
          <w:szCs w:val="22"/>
          <w:lang w:val="fr-FR"/>
        </w:rPr>
        <w:t>.</w:t>
      </w:r>
    </w:p>
    <w:p w14:paraId="43CE98A4" w14:textId="77777777" w:rsidR="00D569E3" w:rsidRPr="00371974" w:rsidRDefault="00D569E3" w:rsidP="00D85AF8">
      <w:pPr>
        <w:spacing w:line="280" w:lineRule="atLeast"/>
        <w:jc w:val="both"/>
        <w:rPr>
          <w:rFonts w:cs="Arial"/>
          <w:szCs w:val="22"/>
          <w:lang w:val="fr-FR"/>
        </w:rPr>
      </w:pPr>
    </w:p>
    <w:p w14:paraId="3EA35B59" w14:textId="5154A296" w:rsidR="00280127" w:rsidRPr="00717176" w:rsidRDefault="00E73384" w:rsidP="00D85AF8">
      <w:pPr>
        <w:spacing w:line="280" w:lineRule="atLeast"/>
        <w:jc w:val="both"/>
        <w:rPr>
          <w:rFonts w:cs="Arial"/>
          <w:i/>
          <w:iCs/>
          <w:szCs w:val="22"/>
          <w:lang w:val="fr-FR"/>
        </w:rPr>
      </w:pPr>
      <w:r w:rsidRPr="00371974">
        <w:rPr>
          <w:rFonts w:cs="Arial"/>
          <w:szCs w:val="22"/>
          <w:lang w:val="fr-FR"/>
        </w:rPr>
        <w:t>Commentant les résultats de la recherche</w:t>
      </w:r>
      <w:r w:rsidR="003461AE" w:rsidRPr="00371974">
        <w:rPr>
          <w:rFonts w:cs="Arial"/>
          <w:szCs w:val="22"/>
          <w:lang w:val="fr-FR"/>
        </w:rPr>
        <w:t xml:space="preserve">, </w:t>
      </w:r>
      <w:r w:rsidR="00272710" w:rsidRPr="00371974">
        <w:rPr>
          <w:rFonts w:cs="Arial"/>
          <w:szCs w:val="22"/>
          <w:lang w:val="fr-FR"/>
        </w:rPr>
        <w:t xml:space="preserve">le Professeur </w:t>
      </w:r>
      <w:r w:rsidR="002810C3" w:rsidRPr="00371974">
        <w:rPr>
          <w:rFonts w:cs="Arial"/>
          <w:szCs w:val="22"/>
          <w:lang w:val="fr-FR"/>
        </w:rPr>
        <w:t>Lionel Martellini</w:t>
      </w:r>
      <w:r w:rsidR="003461AE" w:rsidRPr="00371974">
        <w:rPr>
          <w:rFonts w:cs="Arial"/>
          <w:szCs w:val="22"/>
          <w:lang w:val="fr-FR"/>
        </w:rPr>
        <w:t xml:space="preserve">, </w:t>
      </w:r>
      <w:r w:rsidRPr="00371974">
        <w:rPr>
          <w:rFonts w:cs="Arial"/>
          <w:szCs w:val="22"/>
          <w:lang w:val="fr-FR"/>
        </w:rPr>
        <w:t>Directeur de l’</w:t>
      </w:r>
      <w:r w:rsidR="003461AE" w:rsidRPr="00371974">
        <w:rPr>
          <w:rFonts w:cs="Arial"/>
          <w:szCs w:val="22"/>
          <w:lang w:val="fr-FR"/>
        </w:rPr>
        <w:t xml:space="preserve">EDHEC-Risk Institute, </w:t>
      </w:r>
      <w:r w:rsidRPr="00371974">
        <w:rPr>
          <w:rFonts w:cs="Arial"/>
          <w:szCs w:val="22"/>
          <w:lang w:val="fr-FR"/>
        </w:rPr>
        <w:t>a déclaré</w:t>
      </w:r>
      <w:r w:rsidR="003461AE" w:rsidRPr="00371974">
        <w:rPr>
          <w:rFonts w:cs="Arial"/>
          <w:szCs w:val="22"/>
          <w:lang w:val="fr-FR"/>
        </w:rPr>
        <w:t xml:space="preserve">, </w:t>
      </w:r>
      <w:r w:rsidRPr="00717176">
        <w:rPr>
          <w:i/>
          <w:iCs/>
          <w:sz w:val="23"/>
          <w:szCs w:val="23"/>
          <w:lang w:val="fr-FR"/>
        </w:rPr>
        <w:t>«</w:t>
      </w:r>
      <w:r w:rsidRPr="00717176">
        <w:rPr>
          <w:rFonts w:cs="Arial"/>
          <w:i/>
          <w:iCs/>
          <w:szCs w:val="22"/>
          <w:lang w:val="fr-FR"/>
        </w:rPr>
        <w:t xml:space="preserve"> Les outils modernes de la gestion d’actifs peuvent naturellement s’appliquer à la classe immobilière. En particulier une approche de multi-gestion sur le marché des SCPI, basée sur des </w:t>
      </w:r>
      <w:r w:rsidRPr="00717176">
        <w:rPr>
          <w:rFonts w:cs="Arial"/>
          <w:i/>
          <w:iCs/>
          <w:szCs w:val="22"/>
          <w:lang w:val="fr-FR"/>
        </w:rPr>
        <w:lastRenderedPageBreak/>
        <w:t>processus pertinents de sélection et d’allocation, est susceptible d’améliorer significativement le compromis rendement-risque au bénéfice des investisseurs »</w:t>
      </w:r>
      <w:r w:rsidRPr="00717176">
        <w:rPr>
          <w:i/>
          <w:iCs/>
          <w:sz w:val="23"/>
          <w:szCs w:val="23"/>
          <w:lang w:val="fr-FR"/>
        </w:rPr>
        <w:t>.</w:t>
      </w:r>
    </w:p>
    <w:p w14:paraId="1BF44744" w14:textId="77777777" w:rsidR="00E36F23" w:rsidRPr="00371974" w:rsidRDefault="00E36F23" w:rsidP="00D85AF8">
      <w:pPr>
        <w:spacing w:line="280" w:lineRule="atLeast"/>
        <w:jc w:val="both"/>
        <w:rPr>
          <w:rFonts w:cs="Arial"/>
          <w:szCs w:val="22"/>
          <w:lang w:val="fr-FR"/>
        </w:rPr>
      </w:pPr>
    </w:p>
    <w:p w14:paraId="1EC64E9D" w14:textId="3C0398B2" w:rsidR="007D05C5" w:rsidRPr="00717176" w:rsidRDefault="00B41979">
      <w:pPr>
        <w:jc w:val="both"/>
        <w:rPr>
          <w:i/>
          <w:iCs/>
          <w:szCs w:val="22"/>
          <w:lang w:val="fr-FR"/>
        </w:rPr>
      </w:pPr>
      <w:r w:rsidRPr="00371974">
        <w:rPr>
          <w:szCs w:val="22"/>
          <w:lang w:val="fr-FR"/>
        </w:rPr>
        <w:t xml:space="preserve">Frédéric Bôl, </w:t>
      </w:r>
      <w:r w:rsidR="00E73384" w:rsidRPr="00371974">
        <w:rPr>
          <w:szCs w:val="22"/>
          <w:lang w:val="fr-FR"/>
        </w:rPr>
        <w:t>Président d</w:t>
      </w:r>
      <w:r w:rsidR="00E52F5C">
        <w:rPr>
          <w:szCs w:val="22"/>
          <w:lang w:val="fr-FR"/>
        </w:rPr>
        <w:t>u Directoire de</w:t>
      </w:r>
      <w:r w:rsidR="00E73384" w:rsidRPr="00371974">
        <w:rPr>
          <w:szCs w:val="22"/>
          <w:lang w:val="fr-FR"/>
        </w:rPr>
        <w:t xml:space="preserve"> </w:t>
      </w:r>
      <w:r w:rsidRPr="00371974">
        <w:rPr>
          <w:szCs w:val="22"/>
          <w:lang w:val="fr-FR"/>
        </w:rPr>
        <w:t>Swiss Life Asset Managers France,</w:t>
      </w:r>
      <w:r w:rsidR="00544FAD" w:rsidRPr="00371974">
        <w:rPr>
          <w:szCs w:val="22"/>
          <w:lang w:val="fr-FR"/>
        </w:rPr>
        <w:t xml:space="preserve"> </w:t>
      </w:r>
      <w:r w:rsidR="00E73384" w:rsidRPr="00371974">
        <w:rPr>
          <w:szCs w:val="22"/>
          <w:lang w:val="fr-FR"/>
        </w:rPr>
        <w:t xml:space="preserve">a </w:t>
      </w:r>
      <w:r w:rsidR="00E52F5C">
        <w:rPr>
          <w:szCs w:val="22"/>
          <w:lang w:val="fr-FR"/>
        </w:rPr>
        <w:t xml:space="preserve">souligné </w:t>
      </w:r>
      <w:r w:rsidR="00544FAD" w:rsidRPr="00371974">
        <w:rPr>
          <w:szCs w:val="22"/>
          <w:lang w:val="fr-FR"/>
        </w:rPr>
        <w:t xml:space="preserve">: </w:t>
      </w:r>
      <w:r w:rsidR="00E73384" w:rsidRPr="00717176">
        <w:rPr>
          <w:i/>
          <w:iCs/>
          <w:sz w:val="23"/>
          <w:szCs w:val="23"/>
          <w:lang w:val="fr-FR"/>
        </w:rPr>
        <w:t xml:space="preserve">« </w:t>
      </w:r>
      <w:r w:rsidR="00E73384" w:rsidRPr="00717176">
        <w:rPr>
          <w:i/>
          <w:iCs/>
          <w:szCs w:val="22"/>
          <w:lang w:val="fr-FR"/>
        </w:rPr>
        <w:t xml:space="preserve">La collaboration de nos équipes de recherche respectives, a permis d’adapter les outils développés dans le cadre de la gestion d’actifs financiers au domaine spécifique des fonds immobiliers non cotés et des SCPI en particulier. Les résultats de ces travaux sont directement opérationnels pour améliorer le processus d’investissement en SCPI tant pour l’épargnant individuel que pour l’investisseur institutionnel </w:t>
      </w:r>
      <w:r w:rsidR="00E73384" w:rsidRPr="00717176">
        <w:rPr>
          <w:i/>
          <w:iCs/>
          <w:sz w:val="23"/>
          <w:szCs w:val="23"/>
          <w:lang w:val="fr-FR"/>
        </w:rPr>
        <w:t>».</w:t>
      </w:r>
      <w:r w:rsidR="00544FAD" w:rsidRPr="00717176">
        <w:rPr>
          <w:i/>
          <w:iCs/>
          <w:szCs w:val="22"/>
          <w:lang w:val="fr-FR"/>
        </w:rPr>
        <w:t xml:space="preserve"> </w:t>
      </w:r>
    </w:p>
    <w:p w14:paraId="38C2AD5C" w14:textId="77777777" w:rsidR="00AA3F38" w:rsidRPr="00371974" w:rsidRDefault="00AA3F38" w:rsidP="00463C32">
      <w:pPr>
        <w:spacing w:line="280" w:lineRule="atLeast"/>
        <w:jc w:val="both"/>
        <w:rPr>
          <w:snapToGrid w:val="0"/>
          <w:color w:val="000000"/>
          <w:szCs w:val="22"/>
          <w:lang w:val="fr-FR"/>
        </w:rPr>
      </w:pPr>
    </w:p>
    <w:p w14:paraId="16746EA1" w14:textId="77777777" w:rsidR="002039B0" w:rsidRDefault="00294531" w:rsidP="00717176">
      <w:pPr>
        <w:jc w:val="both"/>
        <w:rPr>
          <w:rFonts w:cs="Arial"/>
          <w:szCs w:val="22"/>
          <w:lang w:val="fr-FR"/>
        </w:rPr>
      </w:pPr>
      <w:r w:rsidRPr="00371974">
        <w:rPr>
          <w:rFonts w:cs="Arial"/>
          <w:szCs w:val="22"/>
          <w:lang w:val="fr-FR"/>
        </w:rPr>
        <w:t>Béatrice Guedj, Directrice de la Recherche et de l’Innovation chez Swiss Life Asset Managers</w:t>
      </w:r>
      <w:r>
        <w:rPr>
          <w:rFonts w:cs="Arial"/>
          <w:szCs w:val="22"/>
          <w:lang w:val="fr-FR"/>
        </w:rPr>
        <w:t xml:space="preserve"> France a déclaré : </w:t>
      </w:r>
      <w:r w:rsidR="00272710" w:rsidRPr="00717176">
        <w:rPr>
          <w:i/>
          <w:iCs/>
          <w:sz w:val="23"/>
          <w:szCs w:val="23"/>
          <w:lang w:val="fr-FR"/>
        </w:rPr>
        <w:t xml:space="preserve">« </w:t>
      </w:r>
      <w:r w:rsidR="00272710" w:rsidRPr="00717176">
        <w:rPr>
          <w:rFonts w:cs="Arial"/>
          <w:i/>
          <w:iCs/>
          <w:szCs w:val="22"/>
          <w:lang w:val="fr-FR"/>
        </w:rPr>
        <w:t>Compte tenu de l’appétit croissant pour les véhicules SCPI, élément constitutif d’un investissement à long terme, les ménages et les investisseurs institutionnels doivent se rappeler : premièrement, la performance ajustée du risque est portée par la revalorisation de part et non par le rendement</w:t>
      </w:r>
      <w:r w:rsidR="00E52F5C">
        <w:rPr>
          <w:rFonts w:cs="Arial"/>
          <w:i/>
          <w:iCs/>
          <w:szCs w:val="22"/>
          <w:lang w:val="fr-FR"/>
        </w:rPr>
        <w:t xml:space="preserve"> </w:t>
      </w:r>
      <w:r w:rsidR="00272710" w:rsidRPr="00717176">
        <w:rPr>
          <w:rFonts w:cs="Arial"/>
          <w:i/>
          <w:iCs/>
          <w:szCs w:val="22"/>
          <w:lang w:val="fr-FR"/>
        </w:rPr>
        <w:t>; deuxièmement, la sélection par la taille, la volatilité et la performance passée sont pertinents dans un processus d’allocation optimal. Troisièmement, la diversification, recherché</w:t>
      </w:r>
      <w:r w:rsidR="00E52F5C">
        <w:rPr>
          <w:rFonts w:cs="Arial"/>
          <w:i/>
          <w:iCs/>
          <w:szCs w:val="22"/>
          <w:lang w:val="fr-FR"/>
        </w:rPr>
        <w:t>e</w:t>
      </w:r>
      <w:r w:rsidR="00272710" w:rsidRPr="00717176">
        <w:rPr>
          <w:rFonts w:cs="Arial"/>
          <w:i/>
          <w:iCs/>
          <w:szCs w:val="22"/>
          <w:lang w:val="fr-FR"/>
        </w:rPr>
        <w:t xml:space="preserve"> tant par les épargnants que par les investisseurs, </w:t>
      </w:r>
      <w:r w:rsidR="002F7CE8" w:rsidRPr="00717176">
        <w:rPr>
          <w:rFonts w:cs="Arial"/>
          <w:i/>
          <w:iCs/>
          <w:szCs w:val="22"/>
          <w:lang w:val="fr-FR"/>
        </w:rPr>
        <w:t>pourrait être obtenue</w:t>
      </w:r>
      <w:r w:rsidR="00272710" w:rsidRPr="00717176">
        <w:rPr>
          <w:rFonts w:cs="Arial"/>
          <w:i/>
          <w:iCs/>
          <w:szCs w:val="22"/>
          <w:lang w:val="fr-FR"/>
        </w:rPr>
        <w:t xml:space="preserve"> avec un portefeuille de 10 SCPI. Le défi est maintenant de trouver la meilleure voie pour mettre en œuvre efficacement une telle solution de multi-gestion </w:t>
      </w:r>
      <w:r w:rsidR="006813D0" w:rsidRPr="00717176">
        <w:rPr>
          <w:rFonts w:cs="Arial"/>
          <w:i/>
          <w:iCs/>
          <w:szCs w:val="22"/>
          <w:lang w:val="fr-FR"/>
        </w:rPr>
        <w:t xml:space="preserve">en architecture ouverte </w:t>
      </w:r>
      <w:r w:rsidR="00272710" w:rsidRPr="00717176">
        <w:rPr>
          <w:rFonts w:cs="Arial"/>
          <w:i/>
          <w:iCs/>
          <w:szCs w:val="22"/>
          <w:lang w:val="fr-FR"/>
        </w:rPr>
        <w:t>au profit de tous</w:t>
      </w:r>
      <w:r w:rsidR="002F7CE8" w:rsidRPr="00717176">
        <w:rPr>
          <w:rFonts w:cs="Arial"/>
          <w:i/>
          <w:iCs/>
          <w:szCs w:val="22"/>
          <w:lang w:val="fr-FR"/>
        </w:rPr>
        <w:t xml:space="preserve"> </w:t>
      </w:r>
      <w:r w:rsidR="0038311B" w:rsidRPr="00717176">
        <w:rPr>
          <w:i/>
          <w:iCs/>
          <w:sz w:val="23"/>
          <w:szCs w:val="23"/>
          <w:lang w:val="fr-FR"/>
        </w:rPr>
        <w:t>»</w:t>
      </w:r>
      <w:r w:rsidR="002039B0">
        <w:rPr>
          <w:rFonts w:cs="Arial"/>
          <w:szCs w:val="22"/>
          <w:lang w:val="fr-FR"/>
        </w:rPr>
        <w:t>.</w:t>
      </w:r>
    </w:p>
    <w:p w14:paraId="0A158CE4" w14:textId="1ACC34A4" w:rsidR="008E2837" w:rsidRPr="00371974" w:rsidRDefault="008E2837" w:rsidP="00717176">
      <w:pPr>
        <w:jc w:val="both"/>
        <w:rPr>
          <w:szCs w:val="22"/>
          <w:lang w:val="fr-FR" w:eastAsia="de-DE"/>
        </w:rPr>
      </w:pPr>
    </w:p>
    <w:p w14:paraId="38E06420" w14:textId="6F7E214E" w:rsidR="00C13D35" w:rsidRPr="00717176" w:rsidRDefault="00E73384" w:rsidP="005C45F8">
      <w:pPr>
        <w:jc w:val="both"/>
        <w:rPr>
          <w:i/>
          <w:iCs/>
          <w:sz w:val="24"/>
          <w:lang w:val="fr-FR"/>
        </w:rPr>
      </w:pPr>
      <w:r w:rsidRPr="00371974">
        <w:rPr>
          <w:szCs w:val="22"/>
          <w:lang w:val="fr-FR" w:eastAsia="de-DE"/>
        </w:rPr>
        <w:t>Commentant les résultats de cette étude</w:t>
      </w:r>
      <w:r w:rsidR="00C13D35" w:rsidRPr="00371974">
        <w:rPr>
          <w:szCs w:val="22"/>
          <w:lang w:val="fr-FR" w:eastAsia="de-DE"/>
        </w:rPr>
        <w:t xml:space="preserve">, </w:t>
      </w:r>
      <w:r w:rsidR="00C13D35" w:rsidRPr="00371974">
        <w:rPr>
          <w:sz w:val="24"/>
          <w:lang w:val="fr-FR"/>
        </w:rPr>
        <w:t>Shahyar Saf</w:t>
      </w:r>
      <w:r w:rsidR="00910963" w:rsidRPr="00371974">
        <w:rPr>
          <w:sz w:val="24"/>
          <w:lang w:val="fr-FR"/>
        </w:rPr>
        <w:t>a</w:t>
      </w:r>
      <w:r w:rsidR="00C13D35" w:rsidRPr="00371974">
        <w:rPr>
          <w:sz w:val="24"/>
          <w:lang w:val="fr-FR"/>
        </w:rPr>
        <w:t xml:space="preserve">ee, </w:t>
      </w:r>
      <w:r w:rsidRPr="00371974">
        <w:rPr>
          <w:sz w:val="24"/>
          <w:lang w:val="fr-FR"/>
        </w:rPr>
        <w:t>Ingénieur de recherche</w:t>
      </w:r>
      <w:r w:rsidR="00C13D35" w:rsidRPr="00371974">
        <w:rPr>
          <w:sz w:val="24"/>
          <w:lang w:val="fr-FR"/>
        </w:rPr>
        <w:t>, EDHEC-Risk Institute</w:t>
      </w:r>
      <w:r w:rsidR="00E52F5C">
        <w:rPr>
          <w:sz w:val="24"/>
          <w:lang w:val="fr-FR"/>
        </w:rPr>
        <w:t xml:space="preserve"> </w:t>
      </w:r>
      <w:r w:rsidR="00C13D35" w:rsidRPr="00371974">
        <w:rPr>
          <w:sz w:val="24"/>
          <w:lang w:val="fr-FR"/>
        </w:rPr>
        <w:t xml:space="preserve">: </w:t>
      </w:r>
      <w:r w:rsidRPr="00717176">
        <w:rPr>
          <w:i/>
          <w:iCs/>
          <w:sz w:val="23"/>
          <w:szCs w:val="23"/>
          <w:lang w:val="fr-FR"/>
        </w:rPr>
        <w:t xml:space="preserve">« </w:t>
      </w:r>
      <w:r w:rsidRPr="00717176">
        <w:rPr>
          <w:i/>
          <w:iCs/>
          <w:szCs w:val="22"/>
          <w:lang w:val="fr-FR"/>
        </w:rPr>
        <w:t>L’analyse du compromis rendement-risque des SCPI met en évidence un univers varié et hétérogène de fonds immobiliers où les écarts de performance à long terme sont, contrairement à ce que l’on aurait pu penser, principalement dus à des différences de variation de prix des parts et non à des différences de taux de distribution.</w:t>
      </w:r>
      <w:r w:rsidR="007F54E2" w:rsidRPr="00717176">
        <w:rPr>
          <w:i/>
          <w:iCs/>
          <w:szCs w:val="22"/>
          <w:lang w:val="fr-FR"/>
        </w:rPr>
        <w:t xml:space="preserve"> </w:t>
      </w:r>
      <w:r w:rsidRPr="00717176">
        <w:rPr>
          <w:i/>
          <w:iCs/>
          <w:szCs w:val="22"/>
          <w:lang w:val="fr-FR"/>
        </w:rPr>
        <w:t xml:space="preserve">Cette forte disparité des performances incite à la mise en œuvre d’un processus d’allocation par les investisseurs. En particulier, on observe en moyenne une décroissance du risque des portefeuilles de SCPI, sans effet sur leur rendement, à mesure qu’on les diversifie. De plus, le fait qu’une dizaine de SCPI suffisent à obtenir une diversification importante pose la question de leur sélection. Pour ce faire, les investisseurs pourraient identifier des attributs observables et différenciants des SCPI, tels que la taille de capitalisation ou la performance passée, afin de construire un processus de sélection à valeur ajoutée </w:t>
      </w:r>
      <w:r w:rsidRPr="00717176">
        <w:rPr>
          <w:i/>
          <w:iCs/>
          <w:sz w:val="23"/>
          <w:szCs w:val="23"/>
          <w:lang w:val="fr-FR"/>
        </w:rPr>
        <w:t>»</w:t>
      </w:r>
      <w:r w:rsidR="00722039" w:rsidRPr="00717176">
        <w:rPr>
          <w:i/>
          <w:iCs/>
          <w:sz w:val="24"/>
          <w:lang w:val="fr-FR"/>
        </w:rPr>
        <w:t>.</w:t>
      </w:r>
    </w:p>
    <w:p w14:paraId="6F8F434A" w14:textId="77777777" w:rsidR="00C13D35" w:rsidRPr="00717176" w:rsidRDefault="00C13D35" w:rsidP="00C13D35">
      <w:pPr>
        <w:rPr>
          <w:i/>
          <w:iCs/>
          <w:sz w:val="24"/>
          <w:lang w:val="fr-FR"/>
        </w:rPr>
      </w:pPr>
    </w:p>
    <w:p w14:paraId="1D8237C3" w14:textId="38789AE8" w:rsidR="00B009B5" w:rsidRPr="00A970CD" w:rsidRDefault="00B009B5" w:rsidP="00B009B5">
      <w:pPr>
        <w:spacing w:line="200" w:lineRule="atLeast"/>
        <w:jc w:val="both"/>
        <w:rPr>
          <w:rFonts w:eastAsia="SimSun"/>
          <w:lang w:val="fr-FR"/>
        </w:rPr>
      </w:pPr>
      <w:r w:rsidRPr="00A970CD">
        <w:rPr>
          <w:rFonts w:eastAsia="SimSun"/>
          <w:lang w:val="fr-FR"/>
        </w:rPr>
        <w:t xml:space="preserve">Cette publication de l’EDHEC-Risk Institute (en anglais) est téléchargeable en cliquant sur le lien </w:t>
      </w:r>
      <w:r w:rsidR="006D61AF" w:rsidRPr="00A970CD">
        <w:rPr>
          <w:rFonts w:eastAsia="SimSun"/>
          <w:lang w:val="fr-FR"/>
        </w:rPr>
        <w:t>suivant :</w:t>
      </w:r>
      <w:r w:rsidR="003335D6" w:rsidRPr="00A970CD">
        <w:rPr>
          <w:rFonts w:eastAsia="SimSun"/>
          <w:lang w:val="fr-FR"/>
        </w:rPr>
        <w:t xml:space="preserve"> </w:t>
      </w:r>
    </w:p>
    <w:p w14:paraId="289E043A" w14:textId="77777777" w:rsidR="00B405D4" w:rsidRPr="00371974" w:rsidRDefault="00B405D4" w:rsidP="00463C32">
      <w:pPr>
        <w:spacing w:line="280" w:lineRule="atLeast"/>
        <w:jc w:val="both"/>
        <w:rPr>
          <w:snapToGrid w:val="0"/>
          <w:color w:val="000000"/>
          <w:szCs w:val="22"/>
          <w:lang w:val="fr-FR"/>
        </w:rPr>
      </w:pPr>
    </w:p>
    <w:bookmarkStart w:id="2" w:name="_Hlk75192902"/>
    <w:p w14:paraId="5114E3B6" w14:textId="1ED855E4" w:rsidR="00B405D4" w:rsidRPr="0004000E" w:rsidRDefault="000E4E53" w:rsidP="00463C32">
      <w:pPr>
        <w:spacing w:line="280" w:lineRule="atLeast"/>
        <w:jc w:val="both"/>
        <w:rPr>
          <w:snapToGrid w:val="0"/>
          <w:color w:val="000000"/>
          <w:szCs w:val="22"/>
        </w:rPr>
      </w:pPr>
      <w:r>
        <w:fldChar w:fldCharType="begin"/>
      </w:r>
      <w:r>
        <w:instrText xml:space="preserve"> HYPERLINK "https://risk.edhec.edu/sites/risk/files/indices/publications/edhec_risk_publication_-_benefits_of_open_architecture_and_multi-management_in_real_estate_markets.pdf" </w:instrText>
      </w:r>
      <w:r>
        <w:fldChar w:fldCharType="separate"/>
      </w:r>
      <w:r w:rsidR="00B41979" w:rsidRPr="006D61AF">
        <w:rPr>
          <w:rStyle w:val="Lienhypertexte"/>
          <w:rFonts w:eastAsia="SimSun"/>
        </w:rPr>
        <w:t xml:space="preserve">EDHEC-Risk Institute Publication: </w:t>
      </w:r>
      <w:r w:rsidR="004C6307" w:rsidRPr="006D61AF">
        <w:rPr>
          <w:rStyle w:val="Lienhypertexte"/>
          <w:rFonts w:eastAsia="SimSun"/>
        </w:rPr>
        <w:t xml:space="preserve">Benefits of Open Architecture and Multi-Management in Real Estate Markets—Evidence from French </w:t>
      </w:r>
      <w:proofErr w:type="spellStart"/>
      <w:r w:rsidR="004C6307" w:rsidRPr="006D61AF">
        <w:rPr>
          <w:rStyle w:val="Lienhypertexte"/>
          <w:rFonts w:eastAsia="SimSun"/>
        </w:rPr>
        <w:t>Nonlisted</w:t>
      </w:r>
      <w:proofErr w:type="spellEnd"/>
      <w:r w:rsidR="004C6307" w:rsidRPr="006D61AF">
        <w:rPr>
          <w:rStyle w:val="Lienhypertexte"/>
          <w:rFonts w:eastAsia="SimSun"/>
        </w:rPr>
        <w:t xml:space="preserve"> Investment Trusts</w:t>
      </w:r>
      <w:r>
        <w:rPr>
          <w:rStyle w:val="Lienhypertexte"/>
          <w:rFonts w:eastAsia="SimSun"/>
        </w:rPr>
        <w:fldChar w:fldCharType="end"/>
      </w:r>
    </w:p>
    <w:bookmarkEnd w:id="2"/>
    <w:p w14:paraId="29709143" w14:textId="26B4B7D6" w:rsidR="00C62714" w:rsidRDefault="00C62714" w:rsidP="00463C32">
      <w:pPr>
        <w:spacing w:line="280" w:lineRule="atLeast"/>
        <w:jc w:val="both"/>
        <w:rPr>
          <w:snapToGrid w:val="0"/>
          <w:color w:val="000000"/>
          <w:szCs w:val="22"/>
        </w:rPr>
      </w:pPr>
    </w:p>
    <w:p w14:paraId="55A5B39D" w14:textId="59D8CF33" w:rsidR="001F5E8D" w:rsidRPr="00371974" w:rsidRDefault="00D329EB" w:rsidP="001F5E8D">
      <w:pPr>
        <w:jc w:val="both"/>
        <w:rPr>
          <w:rFonts w:cs="Arial"/>
          <w:lang w:val="fr-FR"/>
        </w:rPr>
      </w:pPr>
      <w:r w:rsidRPr="00371974">
        <w:rPr>
          <w:rFonts w:cs="Arial"/>
          <w:lang w:val="fr-FR"/>
        </w:rPr>
        <w:t xml:space="preserve">Les résultats principaux de cette étude sont accessibles directement dans l’infographie Avantages de la sélection et de l’allocation de portefeuille appliquées au marché des SCPI </w:t>
      </w:r>
      <w:r w:rsidR="009021A8" w:rsidRPr="00A3323B">
        <w:rPr>
          <w:snapToGrid w:val="0"/>
          <w:color w:val="000000"/>
          <w:szCs w:val="22"/>
          <w:lang w:val="fr-FR"/>
        </w:rPr>
        <w:t>:</w:t>
      </w:r>
      <w:r w:rsidR="009021A8">
        <w:rPr>
          <w:snapToGrid w:val="0"/>
          <w:color w:val="000000"/>
          <w:szCs w:val="22"/>
          <w:lang w:val="fr-FR"/>
        </w:rPr>
        <w:t xml:space="preserve"> </w:t>
      </w:r>
      <w:bookmarkStart w:id="3" w:name="_Hlk75192955"/>
      <w:r w:rsidR="000E4E53">
        <w:fldChar w:fldCharType="begin"/>
      </w:r>
      <w:r w:rsidR="000E4E53" w:rsidRPr="000E4E53">
        <w:rPr>
          <w:lang w:val="fr-FR"/>
        </w:rPr>
        <w:instrText xml:space="preserve"> HYPERLINK "https://www.edhec.edu/html/edhec-scpi/" </w:instrText>
      </w:r>
      <w:r w:rsidR="000E4E53">
        <w:fldChar w:fldCharType="separate"/>
      </w:r>
      <w:r w:rsidR="00884D04" w:rsidRPr="0021669B">
        <w:rPr>
          <w:rStyle w:val="Lienhypertexte"/>
          <w:snapToGrid w:val="0"/>
          <w:szCs w:val="22"/>
          <w:lang w:val="fr-FR"/>
        </w:rPr>
        <w:t>https://www.edhec.edu/html/edhec-scpi/</w:t>
      </w:r>
      <w:r w:rsidR="000E4E53">
        <w:rPr>
          <w:rStyle w:val="Lienhypertexte"/>
          <w:snapToGrid w:val="0"/>
          <w:szCs w:val="22"/>
          <w:lang w:val="fr-FR"/>
        </w:rPr>
        <w:fldChar w:fldCharType="end"/>
      </w:r>
      <w:r w:rsidR="00884D04">
        <w:rPr>
          <w:snapToGrid w:val="0"/>
          <w:color w:val="000000"/>
          <w:szCs w:val="22"/>
          <w:lang w:val="fr-FR"/>
        </w:rPr>
        <w:t xml:space="preserve"> </w:t>
      </w:r>
      <w:r w:rsidR="00884D04" w:rsidRPr="00D2207D" w:rsidDel="00884D04">
        <w:rPr>
          <w:snapToGrid w:val="0"/>
          <w:color w:val="000000"/>
          <w:szCs w:val="22"/>
          <w:highlight w:val="yellow"/>
          <w:lang w:val="fr-FR"/>
        </w:rPr>
        <w:t xml:space="preserve"> </w:t>
      </w:r>
    </w:p>
    <w:bookmarkEnd w:id="3"/>
    <w:p w14:paraId="0896C6FB" w14:textId="77777777" w:rsidR="00596517" w:rsidRPr="00371974" w:rsidRDefault="00596517" w:rsidP="00463C32">
      <w:pPr>
        <w:spacing w:line="280" w:lineRule="atLeast"/>
        <w:jc w:val="both"/>
        <w:rPr>
          <w:snapToGrid w:val="0"/>
          <w:color w:val="000000"/>
          <w:szCs w:val="22"/>
          <w:lang w:val="fr-FR"/>
        </w:rPr>
      </w:pPr>
    </w:p>
    <w:p w14:paraId="1B5C2FAD" w14:textId="59758D71" w:rsidR="00971FE5" w:rsidRPr="00371974" w:rsidRDefault="00B009B5" w:rsidP="006D0A82">
      <w:pPr>
        <w:autoSpaceDE w:val="0"/>
        <w:autoSpaceDN w:val="0"/>
        <w:adjustRightInd w:val="0"/>
        <w:spacing w:line="280" w:lineRule="atLeast"/>
        <w:jc w:val="both"/>
        <w:rPr>
          <w:b/>
          <w:szCs w:val="22"/>
          <w:lang w:val="fr-FR"/>
        </w:rPr>
      </w:pPr>
      <w:r w:rsidRPr="00A3323B">
        <w:rPr>
          <w:b/>
          <w:snapToGrid w:val="0"/>
          <w:color w:val="000000"/>
          <w:szCs w:val="22"/>
          <w:lang w:val="fr-FR"/>
        </w:rPr>
        <w:t xml:space="preserve">Cette étude a été réalisée avec le soutien </w:t>
      </w:r>
      <w:r>
        <w:rPr>
          <w:b/>
          <w:snapToGrid w:val="0"/>
          <w:color w:val="000000"/>
          <w:szCs w:val="22"/>
          <w:lang w:val="fr-FR"/>
        </w:rPr>
        <w:t>de Swiss Life Asset Managers France</w:t>
      </w:r>
      <w:r w:rsidRPr="00A3323B">
        <w:rPr>
          <w:b/>
          <w:snapToGrid w:val="0"/>
          <w:color w:val="000000"/>
          <w:szCs w:val="22"/>
          <w:lang w:val="fr-FR"/>
        </w:rPr>
        <w:t xml:space="preserve"> dans le cadre de la chaire de recherche de l’EDHEC-Risk Institute sur</w:t>
      </w:r>
      <w:r w:rsidRPr="00371974">
        <w:rPr>
          <w:b/>
          <w:szCs w:val="22"/>
          <w:lang w:val="fr-FR"/>
        </w:rPr>
        <w:t xml:space="preserve"> </w:t>
      </w:r>
      <w:r w:rsidR="002039B0" w:rsidRPr="002039B0">
        <w:rPr>
          <w:b/>
          <w:szCs w:val="22"/>
          <w:lang w:val="fr-FR"/>
        </w:rPr>
        <w:t>«</w:t>
      </w:r>
      <w:r w:rsidR="002039B0">
        <w:rPr>
          <w:b/>
          <w:szCs w:val="22"/>
          <w:lang w:val="fr-FR"/>
        </w:rPr>
        <w:t xml:space="preserve"> </w:t>
      </w:r>
      <w:r w:rsidR="002039B0" w:rsidRPr="002039B0">
        <w:rPr>
          <w:b/>
          <w:szCs w:val="22"/>
          <w:lang w:val="fr-FR"/>
        </w:rPr>
        <w:t>L’immobilier dans les nouvelles solutions d’investissement</w:t>
      </w:r>
      <w:r w:rsidR="002039B0">
        <w:rPr>
          <w:b/>
          <w:szCs w:val="22"/>
          <w:lang w:val="fr-FR"/>
        </w:rPr>
        <w:t xml:space="preserve"> </w:t>
      </w:r>
      <w:r w:rsidR="002039B0" w:rsidRPr="002039B0">
        <w:rPr>
          <w:b/>
          <w:szCs w:val="22"/>
          <w:lang w:val="fr-FR"/>
        </w:rPr>
        <w:t>».</w:t>
      </w:r>
      <w:r w:rsidR="002039B0" w:rsidRPr="00371974" w:rsidDel="002039B0">
        <w:rPr>
          <w:b/>
          <w:szCs w:val="22"/>
          <w:lang w:val="fr-FR"/>
        </w:rPr>
        <w:t xml:space="preserve"> </w:t>
      </w:r>
    </w:p>
    <w:p w14:paraId="3A9DC4EF" w14:textId="77777777" w:rsidR="00401D12" w:rsidRPr="00371974" w:rsidRDefault="00401D12" w:rsidP="00401D12">
      <w:pPr>
        <w:spacing w:line="280" w:lineRule="atLeast"/>
        <w:jc w:val="both"/>
        <w:rPr>
          <w:snapToGrid w:val="0"/>
          <w:color w:val="000000"/>
          <w:szCs w:val="22"/>
          <w:lang w:val="fr-FR"/>
        </w:rPr>
      </w:pPr>
    </w:p>
    <w:p w14:paraId="0814D0B0" w14:textId="77777777" w:rsidR="000C54E5" w:rsidRPr="00371974" w:rsidRDefault="000C54E5" w:rsidP="000C54E5">
      <w:pPr>
        <w:jc w:val="both"/>
        <w:rPr>
          <w:lang w:val="fr-FR"/>
        </w:rPr>
      </w:pPr>
    </w:p>
    <w:p w14:paraId="2196A3DE" w14:textId="77777777" w:rsidR="000C54E5" w:rsidRPr="00371974" w:rsidRDefault="000C54E5" w:rsidP="000C54E5">
      <w:pPr>
        <w:autoSpaceDE w:val="0"/>
        <w:autoSpaceDN w:val="0"/>
        <w:adjustRightInd w:val="0"/>
        <w:jc w:val="both"/>
        <w:rPr>
          <w:snapToGrid w:val="0"/>
          <w:color w:val="000000"/>
          <w:szCs w:val="22"/>
          <w:lang w:val="fr-FR"/>
        </w:rPr>
      </w:pPr>
      <w:r>
        <w:rPr>
          <w:b/>
          <w:bCs/>
          <w:noProof/>
          <w:sz w:val="28"/>
          <w:szCs w:val="28"/>
          <w:lang w:val="fr-FR"/>
        </w:rPr>
        <mc:AlternateContent>
          <mc:Choice Requires="wpg">
            <w:drawing>
              <wp:anchor distT="0" distB="0" distL="114300" distR="114300" simplePos="0" relativeHeight="251659264" behindDoc="1" locked="0" layoutInCell="1" allowOverlap="1" wp14:anchorId="1F105B45" wp14:editId="518A24DB">
                <wp:simplePos x="0" y="0"/>
                <wp:positionH relativeFrom="column">
                  <wp:posOffset>-76200</wp:posOffset>
                </wp:positionH>
                <wp:positionV relativeFrom="paragraph">
                  <wp:posOffset>172720</wp:posOffset>
                </wp:positionV>
                <wp:extent cx="5829300" cy="952500"/>
                <wp:effectExtent l="0" t="0" r="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952500"/>
                          <a:chOff x="1418" y="1238"/>
                          <a:chExt cx="9180" cy="1620"/>
                        </a:xfrm>
                      </wpg:grpSpPr>
                      <wps:wsp>
                        <wps:cNvPr id="8" name="Rectangle 31"/>
                        <wps:cNvSpPr>
                          <a:spLocks noChangeArrowheads="1"/>
                        </wps:cNvSpPr>
                        <wps:spPr bwMode="auto">
                          <a:xfrm>
                            <a:off x="1418" y="1238"/>
                            <a:ext cx="9180" cy="162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2" descr="edhec logo press releas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95" y="1571"/>
                            <a:ext cx="1009"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46E0BE" id="Groupe 7" o:spid="_x0000_s1026" style="position:absolute;margin-left:-6pt;margin-top:13.6pt;width:459pt;height:75pt;z-index:-251657216"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&#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">
                <v:rect id="Rectangle 31"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">
                  <v:imagedata r:id="rId14" o:title="edhec logo press release 3"/>
                </v:shape>
              </v:group>
            </w:pict>
          </mc:Fallback>
        </mc:AlternateContent>
      </w:r>
    </w:p>
    <w:p w14:paraId="6E3B2DEC" w14:textId="77777777" w:rsidR="00B009B5" w:rsidRPr="00A3323B" w:rsidRDefault="00B009B5" w:rsidP="00B009B5">
      <w:pPr>
        <w:tabs>
          <w:tab w:val="left" w:pos="3240"/>
        </w:tabs>
        <w:spacing w:line="280" w:lineRule="atLeast"/>
        <w:ind w:left="1622"/>
        <w:jc w:val="both"/>
        <w:rPr>
          <w:b/>
          <w:bCs/>
          <w:color w:val="800000"/>
          <w:szCs w:val="22"/>
          <w:lang w:val="fr-FR"/>
        </w:rPr>
      </w:pPr>
      <w:r w:rsidRPr="00A3323B">
        <w:rPr>
          <w:b/>
          <w:bCs/>
          <w:color w:val="800000"/>
          <w:szCs w:val="22"/>
          <w:lang w:val="fr-FR"/>
        </w:rPr>
        <w:t>Contact:</w:t>
      </w:r>
    </w:p>
    <w:p w14:paraId="6F5DAD1E" w14:textId="77777777" w:rsidR="00B009B5" w:rsidRPr="00A3323B" w:rsidRDefault="00B009B5" w:rsidP="00B009B5">
      <w:pPr>
        <w:tabs>
          <w:tab w:val="left" w:pos="3240"/>
        </w:tabs>
        <w:spacing w:line="280" w:lineRule="atLeast"/>
        <w:ind w:left="1620"/>
        <w:jc w:val="both"/>
        <w:rPr>
          <w:b/>
          <w:bCs/>
          <w:szCs w:val="22"/>
          <w:lang w:val="fr-FR"/>
        </w:rPr>
      </w:pPr>
      <w:r w:rsidRPr="00A3323B">
        <w:rPr>
          <w:szCs w:val="22"/>
          <w:lang w:val="fr-FR"/>
        </w:rPr>
        <w:t xml:space="preserve">Pour plus d’information, veuillez contacter: </w:t>
      </w:r>
      <w:r w:rsidRPr="00A3323B">
        <w:rPr>
          <w:b/>
          <w:bCs/>
          <w:szCs w:val="22"/>
          <w:lang w:val="fr-FR"/>
        </w:rPr>
        <w:t>Maud Gauchon</w:t>
      </w:r>
    </w:p>
    <w:p w14:paraId="77C757CC" w14:textId="77777777" w:rsidR="00B009B5" w:rsidRPr="00A3323B" w:rsidRDefault="00B009B5" w:rsidP="00B009B5">
      <w:pPr>
        <w:tabs>
          <w:tab w:val="left" w:pos="3240"/>
        </w:tabs>
        <w:spacing w:line="280" w:lineRule="atLeast"/>
        <w:ind w:left="1620"/>
        <w:jc w:val="both"/>
        <w:rPr>
          <w:szCs w:val="22"/>
          <w:lang w:val="fr-FR"/>
        </w:rPr>
      </w:pPr>
      <w:r w:rsidRPr="00A3323B">
        <w:rPr>
          <w:szCs w:val="22"/>
          <w:lang w:val="fr-FR"/>
        </w:rPr>
        <w:t xml:space="preserve">Tél.: </w:t>
      </w:r>
      <w:r w:rsidRPr="00A3323B">
        <w:rPr>
          <w:b/>
          <w:bCs/>
          <w:szCs w:val="22"/>
          <w:lang w:val="fr-FR"/>
        </w:rPr>
        <w:t>+33 493 187 887</w:t>
      </w:r>
      <w:r w:rsidRPr="00A3323B">
        <w:rPr>
          <w:szCs w:val="22"/>
          <w:lang w:val="fr-FR"/>
        </w:rPr>
        <w:t xml:space="preserve"> – Courriel: </w:t>
      </w:r>
      <w:hyperlink r:id="rId15" w:history="1">
        <w:r w:rsidRPr="00A3323B">
          <w:rPr>
            <w:rStyle w:val="Lienhypertexte"/>
            <w:rFonts w:eastAsia="SimSun"/>
            <w:szCs w:val="22"/>
            <w:lang w:val="fr-FR"/>
          </w:rPr>
          <w:t>maud.gauchon@edhec-risk.com</w:t>
        </w:r>
      </w:hyperlink>
    </w:p>
    <w:p w14:paraId="35802FB6" w14:textId="77777777" w:rsidR="00B009B5" w:rsidRPr="003335D6" w:rsidRDefault="00B009B5" w:rsidP="00B009B5">
      <w:pPr>
        <w:tabs>
          <w:tab w:val="left" w:pos="3240"/>
        </w:tabs>
        <w:spacing w:line="280" w:lineRule="atLeast"/>
        <w:ind w:left="1620"/>
        <w:rPr>
          <w:lang w:val="fr-FR"/>
        </w:rPr>
      </w:pPr>
      <w:r w:rsidRPr="003335D6">
        <w:rPr>
          <w:szCs w:val="22"/>
          <w:lang w:val="fr-FR"/>
        </w:rPr>
        <w:t xml:space="preserve">Site web: </w:t>
      </w:r>
      <w:hyperlink r:id="rId16" w:history="1">
        <w:r w:rsidRPr="003335D6">
          <w:rPr>
            <w:rStyle w:val="Lienhypertexte"/>
            <w:rFonts w:eastAsia="SimSun"/>
            <w:lang w:val="fr-FR"/>
          </w:rPr>
          <w:t>https://risk.edhec.edu</w:t>
        </w:r>
      </w:hyperlink>
    </w:p>
    <w:p w14:paraId="2C7BA908" w14:textId="77777777" w:rsidR="000C54E5" w:rsidRPr="003335D6" w:rsidRDefault="000C54E5" w:rsidP="000C54E5">
      <w:pPr>
        <w:spacing w:line="360" w:lineRule="auto"/>
        <w:jc w:val="both"/>
        <w:rPr>
          <w:b/>
          <w:bCs/>
          <w:sz w:val="28"/>
          <w:szCs w:val="28"/>
          <w:lang w:val="fr-FR"/>
        </w:rPr>
      </w:pPr>
    </w:p>
    <w:p w14:paraId="23495D7C" w14:textId="77777777" w:rsidR="003461AE" w:rsidRPr="003335D6" w:rsidRDefault="003461AE" w:rsidP="003461AE">
      <w:pPr>
        <w:tabs>
          <w:tab w:val="left" w:pos="3240"/>
        </w:tabs>
        <w:spacing w:line="280" w:lineRule="atLeast"/>
        <w:rPr>
          <w:lang w:val="fr-FR"/>
        </w:rPr>
      </w:pPr>
    </w:p>
    <w:p w14:paraId="509422D5" w14:textId="77777777" w:rsidR="000029A4" w:rsidRPr="003335D6" w:rsidRDefault="000029A4" w:rsidP="00280127">
      <w:pPr>
        <w:spacing w:line="280" w:lineRule="atLeast"/>
        <w:jc w:val="both"/>
        <w:rPr>
          <w:rFonts w:cs="Arial"/>
          <w:szCs w:val="22"/>
          <w:lang w:val="fr-FR"/>
        </w:rPr>
      </w:pPr>
    </w:p>
    <w:p w14:paraId="5E09157A" w14:textId="0D6CDE23" w:rsidR="000029A4" w:rsidRPr="003335D6" w:rsidRDefault="000029A4" w:rsidP="00280127">
      <w:pPr>
        <w:spacing w:line="280" w:lineRule="atLeast"/>
        <w:jc w:val="both"/>
        <w:rPr>
          <w:rFonts w:cs="Arial"/>
          <w:szCs w:val="22"/>
          <w:lang w:val="fr-FR"/>
        </w:rPr>
      </w:pPr>
    </w:p>
    <w:p w14:paraId="2492AFCC" w14:textId="5F3A2C6D" w:rsidR="00B6087D" w:rsidRPr="003335D6" w:rsidRDefault="00B6087D" w:rsidP="00280127">
      <w:pPr>
        <w:spacing w:line="280" w:lineRule="atLeast"/>
        <w:jc w:val="both"/>
        <w:rPr>
          <w:rFonts w:cs="Arial"/>
          <w:szCs w:val="22"/>
          <w:lang w:val="fr-FR"/>
        </w:rPr>
      </w:pPr>
    </w:p>
    <w:p w14:paraId="4FB715CB" w14:textId="3087103F" w:rsidR="00B009B5" w:rsidRPr="00A3323B" w:rsidRDefault="00B009B5" w:rsidP="00B009B5">
      <w:pPr>
        <w:spacing w:line="360" w:lineRule="auto"/>
        <w:jc w:val="both"/>
        <w:rPr>
          <w:b/>
          <w:bCs/>
          <w:sz w:val="28"/>
          <w:szCs w:val="28"/>
          <w:lang w:val="fr-FR"/>
        </w:rPr>
      </w:pPr>
      <w:r w:rsidRPr="00A3323B">
        <w:rPr>
          <w:b/>
          <w:bCs/>
          <w:sz w:val="28"/>
          <w:szCs w:val="28"/>
          <w:lang w:val="fr-FR"/>
        </w:rPr>
        <w:t>A propos de l’EDHEC et d’EDHEC-Risk Institute</w:t>
      </w:r>
    </w:p>
    <w:p w14:paraId="3DCBDFEB" w14:textId="77777777" w:rsidR="00B009B5" w:rsidRPr="00A3323B" w:rsidRDefault="00B009B5" w:rsidP="00B009B5">
      <w:pPr>
        <w:spacing w:line="280" w:lineRule="atLeast"/>
        <w:jc w:val="both"/>
        <w:rPr>
          <w:lang w:val="fr-FR"/>
        </w:rPr>
      </w:pPr>
    </w:p>
    <w:p w14:paraId="515A05AC" w14:textId="77777777" w:rsidR="00B009B5" w:rsidRPr="00A3323B" w:rsidRDefault="00B009B5" w:rsidP="00B009B5">
      <w:pPr>
        <w:jc w:val="both"/>
        <w:rPr>
          <w:snapToGrid w:val="0"/>
          <w:lang w:val="fr-FR"/>
        </w:rPr>
      </w:pPr>
      <w:r w:rsidRPr="00A3323B">
        <w:rPr>
          <w:snapToGrid w:val="0"/>
          <w:lang w:val="fr-FR"/>
        </w:rPr>
        <w:t xml:space="preserve">Depuis 2001, l’EDHEC Business School poursuit une politique ambitieuse en matière de recherche internationale. Cette politique, connue sous le nom de « </w:t>
      </w:r>
      <w:proofErr w:type="spellStart"/>
      <w:r w:rsidRPr="00A3323B">
        <w:rPr>
          <w:snapToGrid w:val="0"/>
          <w:lang w:val="fr-FR"/>
        </w:rPr>
        <w:t>Make</w:t>
      </w:r>
      <w:proofErr w:type="spellEnd"/>
      <w:r w:rsidRPr="00A3323B">
        <w:rPr>
          <w:snapToGrid w:val="0"/>
          <w:lang w:val="fr-FR"/>
        </w:rPr>
        <w:t xml:space="preserve"> an Impact », a pour but de faire de l’EDHEC une institution académique de référence pour l’industrie dans un petit nombre de domaines pour lesquels l’école a atteint une masse critique en matière d’expertise et de résultats de recherche. EDHEC-Risk Institute a développé un portefeuille ambitieux d’initiatives de recherche et de formations concernant des solutions d’investissement proposées aux investisseurs institutionnels et individuels. La gestion d’actifs et la gestion des risques ont occupés des places privilégiées. </w:t>
      </w:r>
    </w:p>
    <w:p w14:paraId="05988662" w14:textId="77777777" w:rsidR="00B009B5" w:rsidRPr="00A3323B" w:rsidRDefault="00B009B5" w:rsidP="00B009B5">
      <w:pPr>
        <w:jc w:val="both"/>
        <w:rPr>
          <w:snapToGrid w:val="0"/>
          <w:lang w:val="fr-FR"/>
        </w:rPr>
      </w:pPr>
    </w:p>
    <w:p w14:paraId="47680A7C" w14:textId="77777777" w:rsidR="00B009B5" w:rsidRPr="00A3323B" w:rsidRDefault="00B009B5" w:rsidP="00B009B5">
      <w:pPr>
        <w:jc w:val="both"/>
        <w:rPr>
          <w:snapToGrid w:val="0"/>
          <w:lang w:val="fr-FR"/>
        </w:rPr>
      </w:pPr>
      <w:r w:rsidRPr="00A3323B">
        <w:rPr>
          <w:snapToGrid w:val="0"/>
          <w:lang w:val="fr-FR"/>
        </w:rPr>
        <w:t xml:space="preserve">EDHEC-Risk Institute dispose d’une équipe de professeurs permanents, ingénieurs et personnel administratif, ainsi qu’un large nombre de chercheurs associés issus de l’industrie financière et professeurs affiliés. EDHEC-Risk Institute est installé dans des campus situés à Londres, Nice et Paris. La philosophie de l’institut consiste à faire valider ses travaux à travers des publications dans des journaux académiques de prestige, mais aussi de les diffuser auprès des professionnels et de participer aux débats dans l’industrie à travers ses position </w:t>
      </w:r>
      <w:proofErr w:type="spellStart"/>
      <w:r w:rsidRPr="00A3323B">
        <w:rPr>
          <w:snapToGrid w:val="0"/>
          <w:lang w:val="fr-FR"/>
        </w:rPr>
        <w:t>papers</w:t>
      </w:r>
      <w:proofErr w:type="spellEnd"/>
      <w:r w:rsidRPr="00A3323B">
        <w:rPr>
          <w:snapToGrid w:val="0"/>
          <w:lang w:val="fr-FR"/>
        </w:rPr>
        <w:t>, ses études publiées et ses conférences mondiales.</w:t>
      </w:r>
    </w:p>
    <w:p w14:paraId="7D670951" w14:textId="77777777" w:rsidR="00B009B5" w:rsidRPr="00A3323B" w:rsidRDefault="00B009B5" w:rsidP="00B009B5">
      <w:pPr>
        <w:jc w:val="both"/>
        <w:rPr>
          <w:snapToGrid w:val="0"/>
          <w:lang w:val="fr-FR"/>
        </w:rPr>
      </w:pPr>
    </w:p>
    <w:p w14:paraId="74DD5332" w14:textId="227C2473" w:rsidR="00B009B5" w:rsidRPr="00A3323B" w:rsidRDefault="00B009B5" w:rsidP="00B009B5">
      <w:pPr>
        <w:jc w:val="both"/>
        <w:rPr>
          <w:snapToGrid w:val="0"/>
          <w:lang w:val="fr-FR"/>
        </w:rPr>
      </w:pPr>
      <w:r w:rsidRPr="00A3323B">
        <w:rPr>
          <w:snapToGrid w:val="0"/>
          <w:lang w:val="fr-FR"/>
        </w:rPr>
        <w:t xml:space="preserve">Afin d’assurer la diffusion de ses travaux de recherche auprès de l’industrie, EDHEC-Risk Institute permet également aux professionnels d’accéder à son site </w:t>
      </w:r>
      <w:hyperlink r:id="rId17" w:history="1">
        <w:r w:rsidRPr="00A3323B">
          <w:rPr>
            <w:rStyle w:val="Lienhypertexte"/>
            <w:rFonts w:eastAsia="SimSun"/>
            <w:lang w:val="fr-FR"/>
          </w:rPr>
          <w:t>https://risk.edhec.edu</w:t>
        </w:r>
      </w:hyperlink>
      <w:r w:rsidRPr="00A3323B">
        <w:rPr>
          <w:lang w:val="fr-FR"/>
        </w:rPr>
        <w:t>, d</w:t>
      </w:r>
      <w:r w:rsidRPr="00A3323B">
        <w:rPr>
          <w:snapToGrid w:val="0"/>
          <w:lang w:val="fr-FR"/>
        </w:rPr>
        <w:t>édié à la recherche dans les domaines du risque et de la gestion d’actifs sur le plan international, avec un focus sur les solutions d’investissement</w:t>
      </w:r>
      <w:r>
        <w:rPr>
          <w:snapToGrid w:val="0"/>
          <w:lang w:val="fr-FR"/>
        </w:rPr>
        <w:t xml:space="preserve"> pour la retraite et la finance durable</w:t>
      </w:r>
      <w:r w:rsidRPr="00A3323B">
        <w:rPr>
          <w:snapToGrid w:val="0"/>
          <w:lang w:val="fr-FR"/>
        </w:rPr>
        <w:t>. Son bulletin trimestriel est diffusé auprès de plus de 100,000 lecteurs.</w:t>
      </w:r>
    </w:p>
    <w:p w14:paraId="69CD9F38" w14:textId="77777777" w:rsidR="00B009B5" w:rsidRPr="00A3323B" w:rsidRDefault="00B009B5" w:rsidP="00B009B5">
      <w:pPr>
        <w:spacing w:line="280" w:lineRule="atLeast"/>
        <w:jc w:val="both"/>
        <w:rPr>
          <w:szCs w:val="22"/>
          <w:lang w:val="fr-FR"/>
        </w:rPr>
      </w:pPr>
    </w:p>
    <w:p w14:paraId="10622381" w14:textId="77777777" w:rsidR="00B009B5" w:rsidRPr="00A3323B" w:rsidRDefault="00B009B5" w:rsidP="00B009B5">
      <w:pPr>
        <w:jc w:val="both"/>
        <w:rPr>
          <w:snapToGrid w:val="0"/>
          <w:lang w:val="fr-FR"/>
        </w:rPr>
      </w:pPr>
      <w:r w:rsidRPr="00A3323B">
        <w:rPr>
          <w:snapToGrid w:val="0"/>
          <w:lang w:val="fr-FR"/>
        </w:rPr>
        <w:t xml:space="preserve">EDHEC-Risk Institute propose également une gamme significative d’activités de formation continue pour les professionnels, en partenariat avec des partenaires académiques de prestige. </w:t>
      </w:r>
    </w:p>
    <w:p w14:paraId="1FF8BE84" w14:textId="77777777" w:rsidR="00B009B5" w:rsidRPr="00A3323B" w:rsidRDefault="00B009B5" w:rsidP="00B009B5">
      <w:pPr>
        <w:jc w:val="both"/>
        <w:rPr>
          <w:snapToGrid w:val="0"/>
          <w:lang w:val="fr-FR"/>
        </w:rPr>
      </w:pPr>
    </w:p>
    <w:p w14:paraId="6FF27E11" w14:textId="77777777" w:rsidR="00B009B5" w:rsidRPr="00A3323B" w:rsidRDefault="00B009B5" w:rsidP="00B009B5">
      <w:pPr>
        <w:jc w:val="both"/>
        <w:rPr>
          <w:lang w:val="fr-FR"/>
        </w:rPr>
      </w:pPr>
      <w:r w:rsidRPr="00A3323B">
        <w:rPr>
          <w:lang w:val="fr-FR"/>
        </w:rPr>
        <w:t>Dans le cadre de sa politique de transfert de savoir-faire à l’industrie, EDHEC-Risk Institute a créé ERI Scientific Beta en 2012. ERI Scientific Beta est une initiative originale qui vise à favoriser l’adoption des dernières avancées en matière de conception de smart beta et de leur mise en œuvre par la totalité de l’industrie financière. Son origine académique constitue le fondement de sa stratégie : offrir, dans les meilleures conditions économiques possibles, les solutions smart beta qui sont les plus éprouvées scientifiquement et cela en toute transparence sur les méthodes et les risques associés à ces nouvelles offres d’indices</w:t>
      </w:r>
    </w:p>
    <w:p w14:paraId="3B0D6A1C" w14:textId="77777777" w:rsidR="00B41979" w:rsidRPr="00371974" w:rsidRDefault="00B41979" w:rsidP="00B41979">
      <w:pPr>
        <w:jc w:val="both"/>
        <w:rPr>
          <w:szCs w:val="22"/>
          <w:lang w:val="fr-FR"/>
        </w:rPr>
      </w:pPr>
    </w:p>
    <w:p w14:paraId="0CAC7D28" w14:textId="77777777" w:rsidR="00B41979" w:rsidRPr="00371974" w:rsidRDefault="00B41979" w:rsidP="00B41979">
      <w:pPr>
        <w:jc w:val="both"/>
        <w:rPr>
          <w:szCs w:val="22"/>
          <w:lang w:val="fr-FR"/>
        </w:rPr>
      </w:pPr>
    </w:p>
    <w:p w14:paraId="504A17DC" w14:textId="77777777" w:rsidR="00B41979" w:rsidRPr="004726DC" w:rsidRDefault="00B41979" w:rsidP="00B41979">
      <w:pPr>
        <w:spacing w:line="280" w:lineRule="atLeast"/>
        <w:jc w:val="center"/>
        <w:rPr>
          <w:szCs w:val="22"/>
        </w:rPr>
      </w:pPr>
      <w:r w:rsidRPr="004726DC">
        <w:rPr>
          <w:szCs w:val="22"/>
        </w:rPr>
        <w:t>@EDHECRisk</w:t>
      </w:r>
    </w:p>
    <w:p w14:paraId="458232D4" w14:textId="77777777" w:rsidR="00B41979" w:rsidRPr="004726DC" w:rsidRDefault="00B41979" w:rsidP="00B41979">
      <w:pPr>
        <w:spacing w:line="280" w:lineRule="atLeast"/>
        <w:jc w:val="center"/>
        <w:rPr>
          <w:szCs w:val="22"/>
        </w:rPr>
      </w:pPr>
      <w:r w:rsidRPr="004726DC">
        <w:rPr>
          <w:szCs w:val="22"/>
        </w:rPr>
        <w:t>#MakeFinanceUsefulAgain</w:t>
      </w:r>
    </w:p>
    <w:p w14:paraId="2EE4DC0A" w14:textId="77777777" w:rsidR="00B41979" w:rsidRPr="004726DC" w:rsidRDefault="00B41979" w:rsidP="00B41979">
      <w:pPr>
        <w:spacing w:line="280" w:lineRule="atLeast"/>
        <w:jc w:val="both"/>
        <w:rPr>
          <w:szCs w:val="22"/>
        </w:rPr>
      </w:pPr>
    </w:p>
    <w:p w14:paraId="1CDA2A20" w14:textId="77777777" w:rsidR="00B41979" w:rsidRPr="004726DC" w:rsidRDefault="00B41979" w:rsidP="00B41979">
      <w:pPr>
        <w:jc w:val="both"/>
        <w:rPr>
          <w:color w:val="000000" w:themeColor="text1"/>
          <w:szCs w:val="22"/>
        </w:rPr>
      </w:pPr>
    </w:p>
    <w:p w14:paraId="788ED3D4" w14:textId="77777777" w:rsidR="00B41979" w:rsidRPr="004726DC" w:rsidRDefault="00B41979" w:rsidP="00B41979">
      <w:pPr>
        <w:autoSpaceDE w:val="0"/>
        <w:autoSpaceDN w:val="0"/>
        <w:adjustRightInd w:val="0"/>
        <w:rPr>
          <w:b/>
          <w:bCs/>
          <w:sz w:val="16"/>
          <w:szCs w:val="16"/>
          <w:lang w:eastAsia="zh-CN"/>
        </w:rPr>
      </w:pPr>
      <w:r w:rsidRPr="004726DC">
        <w:rPr>
          <w:b/>
          <w:bCs/>
          <w:sz w:val="16"/>
          <w:szCs w:val="16"/>
          <w:lang w:eastAsia="zh-CN"/>
        </w:rPr>
        <w:t xml:space="preserve">                     </w:t>
      </w:r>
      <w:r w:rsidRPr="004726DC">
        <w:rPr>
          <w:b/>
          <w:bCs/>
          <w:sz w:val="16"/>
          <w:szCs w:val="16"/>
          <w:lang w:eastAsia="zh-CN"/>
        </w:rPr>
        <w:tab/>
        <w:t>EDHEC-Risk Institute</w:t>
      </w:r>
      <w:r w:rsidRPr="004726DC">
        <w:rPr>
          <w:b/>
          <w:bCs/>
          <w:sz w:val="16"/>
          <w:szCs w:val="16"/>
          <w:lang w:eastAsia="zh-CN"/>
        </w:rPr>
        <w:tab/>
      </w:r>
      <w:r w:rsidRPr="004726DC">
        <w:rPr>
          <w:b/>
          <w:bCs/>
          <w:sz w:val="16"/>
          <w:szCs w:val="16"/>
          <w:lang w:eastAsia="zh-CN"/>
        </w:rPr>
        <w:tab/>
      </w:r>
      <w:r w:rsidRPr="004726DC">
        <w:rPr>
          <w:b/>
          <w:bCs/>
          <w:sz w:val="16"/>
          <w:szCs w:val="16"/>
          <w:lang w:eastAsia="zh-CN"/>
        </w:rPr>
        <w:tab/>
      </w:r>
      <w:r w:rsidRPr="004726DC">
        <w:rPr>
          <w:b/>
          <w:bCs/>
          <w:sz w:val="16"/>
          <w:szCs w:val="16"/>
          <w:lang w:eastAsia="zh-CN"/>
        </w:rPr>
        <w:tab/>
      </w:r>
      <w:r w:rsidRPr="004726DC">
        <w:rPr>
          <w:b/>
          <w:bCs/>
          <w:sz w:val="16"/>
          <w:szCs w:val="16"/>
          <w:lang w:eastAsia="zh-CN"/>
        </w:rPr>
        <w:tab/>
        <w:t>EDHEC-Risk Institute – Europe</w:t>
      </w:r>
    </w:p>
    <w:p w14:paraId="1A6173CA" w14:textId="77777777" w:rsidR="00B41979" w:rsidRPr="005B793B" w:rsidRDefault="00B41979" w:rsidP="00B41979">
      <w:pPr>
        <w:autoSpaceDE w:val="0"/>
        <w:autoSpaceDN w:val="0"/>
        <w:adjustRightInd w:val="0"/>
        <w:ind w:left="708" w:firstLine="708"/>
        <w:rPr>
          <w:sz w:val="16"/>
          <w:szCs w:val="16"/>
          <w:lang w:val="fr-FR" w:eastAsia="zh-CN"/>
        </w:rPr>
      </w:pPr>
      <w:r w:rsidRPr="005B793B">
        <w:rPr>
          <w:sz w:val="16"/>
          <w:szCs w:val="16"/>
          <w:lang w:val="fr-FR" w:eastAsia="zh-CN"/>
        </w:rPr>
        <w:t>393 promenade des Anglais</w:t>
      </w:r>
      <w:r w:rsidRPr="005B793B">
        <w:rPr>
          <w:sz w:val="16"/>
          <w:szCs w:val="16"/>
          <w:lang w:val="fr-FR" w:eastAsia="zh-CN"/>
        </w:rPr>
        <w:tab/>
      </w:r>
      <w:r w:rsidRPr="005B793B">
        <w:rPr>
          <w:sz w:val="16"/>
          <w:szCs w:val="16"/>
          <w:lang w:val="fr-FR" w:eastAsia="zh-CN"/>
        </w:rPr>
        <w:tab/>
      </w:r>
      <w:r w:rsidRPr="005B793B">
        <w:rPr>
          <w:sz w:val="16"/>
          <w:szCs w:val="16"/>
          <w:lang w:val="fr-FR" w:eastAsia="zh-CN"/>
        </w:rPr>
        <w:tab/>
      </w:r>
      <w:r w:rsidRPr="005B793B">
        <w:rPr>
          <w:sz w:val="16"/>
          <w:szCs w:val="16"/>
          <w:lang w:val="fr-FR" w:eastAsia="zh-CN"/>
        </w:rPr>
        <w:tab/>
      </w:r>
      <w:r w:rsidRPr="005B793B">
        <w:rPr>
          <w:sz w:val="16"/>
          <w:szCs w:val="16"/>
          <w:lang w:val="fr-FR" w:eastAsia="zh-CN"/>
        </w:rPr>
        <w:tab/>
        <w:t xml:space="preserve">10 Fleet Place, </w:t>
      </w:r>
      <w:proofErr w:type="spellStart"/>
      <w:r w:rsidRPr="005B793B">
        <w:rPr>
          <w:sz w:val="16"/>
          <w:szCs w:val="16"/>
          <w:lang w:val="fr-FR" w:eastAsia="zh-CN"/>
        </w:rPr>
        <w:t>Ludgate</w:t>
      </w:r>
      <w:proofErr w:type="spellEnd"/>
    </w:p>
    <w:p w14:paraId="27A3C4F5" w14:textId="77777777" w:rsidR="00B41979" w:rsidRPr="004726DC" w:rsidRDefault="00B41979" w:rsidP="00B41979">
      <w:pPr>
        <w:autoSpaceDE w:val="0"/>
        <w:autoSpaceDN w:val="0"/>
        <w:adjustRightInd w:val="0"/>
        <w:ind w:left="708" w:firstLine="708"/>
        <w:rPr>
          <w:sz w:val="16"/>
          <w:szCs w:val="16"/>
          <w:lang w:eastAsia="zh-CN"/>
        </w:rPr>
      </w:pPr>
      <w:r w:rsidRPr="004726DC">
        <w:rPr>
          <w:sz w:val="16"/>
          <w:szCs w:val="16"/>
          <w:lang w:eastAsia="zh-CN"/>
        </w:rPr>
        <w:t>BP 3116 – 06202 Nice Cedex 3</w:t>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t>London EC4M 7RB</w:t>
      </w:r>
      <w:r w:rsidRPr="004726DC">
        <w:rPr>
          <w:sz w:val="16"/>
          <w:szCs w:val="16"/>
          <w:lang w:eastAsia="zh-CN"/>
        </w:rPr>
        <w:tab/>
      </w:r>
      <w:r w:rsidRPr="004726DC">
        <w:rPr>
          <w:sz w:val="16"/>
          <w:szCs w:val="16"/>
          <w:lang w:eastAsia="zh-CN"/>
        </w:rPr>
        <w:tab/>
      </w:r>
    </w:p>
    <w:p w14:paraId="50C7A3CD" w14:textId="77777777" w:rsidR="00B41979" w:rsidRPr="004726DC" w:rsidRDefault="00B41979" w:rsidP="00B41979">
      <w:pPr>
        <w:autoSpaceDE w:val="0"/>
        <w:autoSpaceDN w:val="0"/>
        <w:adjustRightInd w:val="0"/>
        <w:ind w:left="708" w:firstLine="708"/>
        <w:rPr>
          <w:sz w:val="16"/>
          <w:szCs w:val="16"/>
          <w:lang w:eastAsia="zh-CN"/>
        </w:rPr>
      </w:pPr>
      <w:r w:rsidRPr="004726DC">
        <w:rPr>
          <w:sz w:val="16"/>
          <w:szCs w:val="16"/>
          <w:lang w:eastAsia="zh-CN"/>
        </w:rPr>
        <w:t>France</w:t>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t>United Kingdom</w:t>
      </w:r>
      <w:r w:rsidRPr="004726DC">
        <w:rPr>
          <w:sz w:val="16"/>
          <w:szCs w:val="16"/>
          <w:lang w:eastAsia="zh-CN"/>
        </w:rPr>
        <w:tab/>
      </w:r>
      <w:r w:rsidRPr="004726DC">
        <w:rPr>
          <w:sz w:val="16"/>
          <w:szCs w:val="16"/>
          <w:lang w:eastAsia="zh-CN"/>
        </w:rPr>
        <w:tab/>
      </w:r>
    </w:p>
    <w:p w14:paraId="15E3BD2D" w14:textId="77777777" w:rsidR="00B41979" w:rsidRPr="006813D0" w:rsidRDefault="00B41979" w:rsidP="00B41979">
      <w:pPr>
        <w:autoSpaceDE w:val="0"/>
        <w:autoSpaceDN w:val="0"/>
        <w:adjustRightInd w:val="0"/>
        <w:ind w:left="708" w:firstLine="708"/>
        <w:rPr>
          <w:sz w:val="16"/>
          <w:szCs w:val="16"/>
          <w:lang w:val="fr-FR" w:eastAsia="zh-CN"/>
        </w:rPr>
      </w:pPr>
      <w:r w:rsidRPr="006813D0">
        <w:rPr>
          <w:sz w:val="16"/>
          <w:szCs w:val="16"/>
          <w:lang w:val="fr-FR" w:eastAsia="zh-CN"/>
        </w:rPr>
        <w:t>Tel: +33 493 187 887</w:t>
      </w:r>
      <w:r w:rsidRPr="006813D0">
        <w:rPr>
          <w:sz w:val="16"/>
          <w:szCs w:val="16"/>
          <w:lang w:val="fr-FR" w:eastAsia="zh-CN"/>
        </w:rPr>
        <w:tab/>
      </w:r>
      <w:r w:rsidRPr="006813D0">
        <w:rPr>
          <w:sz w:val="16"/>
          <w:szCs w:val="16"/>
          <w:lang w:val="fr-FR" w:eastAsia="zh-CN"/>
        </w:rPr>
        <w:tab/>
      </w:r>
      <w:r w:rsidRPr="006813D0">
        <w:rPr>
          <w:sz w:val="16"/>
          <w:szCs w:val="16"/>
          <w:lang w:val="fr-FR" w:eastAsia="zh-CN"/>
        </w:rPr>
        <w:tab/>
      </w:r>
      <w:r w:rsidRPr="006813D0">
        <w:rPr>
          <w:sz w:val="16"/>
          <w:szCs w:val="16"/>
          <w:lang w:val="fr-FR" w:eastAsia="zh-CN"/>
        </w:rPr>
        <w:tab/>
      </w:r>
      <w:r w:rsidRPr="006813D0">
        <w:rPr>
          <w:sz w:val="16"/>
          <w:szCs w:val="16"/>
          <w:lang w:val="fr-FR" w:eastAsia="zh-CN"/>
        </w:rPr>
        <w:tab/>
      </w:r>
      <w:r w:rsidRPr="006813D0">
        <w:rPr>
          <w:sz w:val="16"/>
          <w:szCs w:val="16"/>
          <w:lang w:val="fr-FR" w:eastAsia="zh-CN"/>
        </w:rPr>
        <w:tab/>
        <w:t>Tel: + 44 207 332 5600</w:t>
      </w:r>
      <w:r w:rsidRPr="006813D0">
        <w:rPr>
          <w:sz w:val="16"/>
          <w:szCs w:val="16"/>
          <w:lang w:val="fr-FR" w:eastAsia="zh-CN"/>
        </w:rPr>
        <w:tab/>
      </w:r>
    </w:p>
    <w:p w14:paraId="5CDD28AF" w14:textId="77777777" w:rsidR="00B41979" w:rsidRPr="006813D0" w:rsidRDefault="00B41979" w:rsidP="00B41979">
      <w:pPr>
        <w:rPr>
          <w:lang w:val="fr-FR"/>
        </w:rPr>
      </w:pPr>
    </w:p>
    <w:p w14:paraId="75657D7C" w14:textId="77777777" w:rsidR="00C10359" w:rsidRPr="006813D0" w:rsidRDefault="00C10359" w:rsidP="00BD15F3">
      <w:pPr>
        <w:spacing w:line="360" w:lineRule="auto"/>
        <w:jc w:val="both"/>
        <w:rPr>
          <w:b/>
          <w:bCs/>
          <w:sz w:val="28"/>
          <w:szCs w:val="28"/>
          <w:lang w:val="fr-FR"/>
        </w:rPr>
      </w:pPr>
    </w:p>
    <w:p w14:paraId="7FDCCF11" w14:textId="77777777" w:rsidR="00C10359" w:rsidRPr="006813D0" w:rsidRDefault="00C10359" w:rsidP="00BD15F3">
      <w:pPr>
        <w:spacing w:line="360" w:lineRule="auto"/>
        <w:jc w:val="both"/>
        <w:rPr>
          <w:b/>
          <w:bCs/>
          <w:sz w:val="28"/>
          <w:szCs w:val="28"/>
          <w:lang w:val="fr-FR"/>
        </w:rPr>
      </w:pPr>
    </w:p>
    <w:p w14:paraId="0E86774F" w14:textId="77777777" w:rsidR="002378D7" w:rsidRPr="006813D0" w:rsidRDefault="002378D7" w:rsidP="002378D7">
      <w:pPr>
        <w:rPr>
          <w:b/>
          <w:bCs/>
          <w:color w:val="000000"/>
          <w:sz w:val="28"/>
          <w:szCs w:val="28"/>
          <w:lang w:val="fr-FR" w:eastAsia="en-GB"/>
        </w:rPr>
      </w:pPr>
      <w:r w:rsidRPr="006813D0">
        <w:rPr>
          <w:b/>
          <w:bCs/>
          <w:color w:val="000000"/>
          <w:sz w:val="28"/>
          <w:szCs w:val="28"/>
          <w:lang w:val="fr-FR" w:eastAsia="en-GB"/>
        </w:rPr>
        <w:t>A propos de Swiss Life Asset Managers</w:t>
      </w:r>
    </w:p>
    <w:p w14:paraId="579BDD60" w14:textId="77777777" w:rsidR="002378D7" w:rsidRPr="006813D0" w:rsidRDefault="002378D7" w:rsidP="002378D7">
      <w:pPr>
        <w:rPr>
          <w:i/>
          <w:szCs w:val="22"/>
          <w:lang w:val="fr-FR" w:eastAsia="zh-CN"/>
        </w:rPr>
      </w:pPr>
    </w:p>
    <w:p w14:paraId="11889740" w14:textId="77777777" w:rsidR="002378D7" w:rsidRPr="006813D0" w:rsidRDefault="002378D7" w:rsidP="002378D7">
      <w:pPr>
        <w:jc w:val="both"/>
        <w:rPr>
          <w:szCs w:val="22"/>
          <w:lang w:val="fr-FR"/>
        </w:rPr>
      </w:pPr>
      <w:r w:rsidRPr="006813D0">
        <w:rPr>
          <w:szCs w:val="22"/>
          <w:lang w:val="fr-FR"/>
        </w:rPr>
        <w:t xml:space="preserve">Swiss Life Asset Managers dispose de plus de 160 ans d'expérience dans la gestion des actifs du groupe Swiss Life. Ce lien étroit avec l'assurance conditionne sa philosophie d’investissement qui a pour principal objectif d’avoir une approche responsable des risques. Ainsi, nous créons le socle permettant à nos clients de planifier leurs investissements de manière sûre et à long terme, en toute liberté de choix et confiance financière. Cette approche qui a fait ses preuves permet également à des clients tiers basés </w:t>
      </w:r>
      <w:r w:rsidRPr="006813D0">
        <w:rPr>
          <w:szCs w:val="22"/>
          <w:lang w:val="fr-FR"/>
        </w:rPr>
        <w:lastRenderedPageBreak/>
        <w:t>en Suisse, en France, en Allemagne, au Luxembourg et en Grande-Bretagne de bénéficier des services proposés par Swiss Life Asset Managers.</w:t>
      </w:r>
    </w:p>
    <w:p w14:paraId="401F30E4" w14:textId="77777777" w:rsidR="002378D7" w:rsidRPr="006813D0" w:rsidRDefault="002378D7" w:rsidP="002378D7">
      <w:pPr>
        <w:jc w:val="both"/>
        <w:rPr>
          <w:szCs w:val="22"/>
          <w:lang w:val="fr-FR"/>
        </w:rPr>
      </w:pPr>
    </w:p>
    <w:p w14:paraId="07A36EFA" w14:textId="77777777" w:rsidR="002378D7" w:rsidRPr="006813D0" w:rsidRDefault="002378D7" w:rsidP="002378D7">
      <w:pPr>
        <w:jc w:val="both"/>
        <w:rPr>
          <w:szCs w:val="22"/>
          <w:lang w:val="fr-FR"/>
        </w:rPr>
      </w:pPr>
      <w:r w:rsidRPr="006813D0">
        <w:rPr>
          <w:szCs w:val="22"/>
          <w:lang w:val="fr-FR"/>
        </w:rPr>
        <w:t xml:space="preserve">Au 31 décembre 2020, Swiss Life Asset Managers gérait 249,2 milliards d'euros d'actifs pour le groupe Swiss Life, dont plus de 84,7 milliards d'euros de placements pour des clients tiers. Swiss Life Asset Managers est également un gestionnaire immobilier leader en Europe1. Sur les 249,2 milliards d'euros d'actifs sous gestion, 71,8 milliards d'euros sont investis dans l'immobilier. Par ailleurs, Swiss Life Asset Managers assure la gestion de biens immobiliers via ses filiales </w:t>
      </w:r>
      <w:proofErr w:type="spellStart"/>
      <w:r w:rsidRPr="006813D0">
        <w:rPr>
          <w:szCs w:val="22"/>
          <w:lang w:val="fr-FR"/>
        </w:rPr>
        <w:t>Livit</w:t>
      </w:r>
      <w:proofErr w:type="spellEnd"/>
      <w:r w:rsidRPr="006813D0">
        <w:rPr>
          <w:szCs w:val="22"/>
          <w:lang w:val="fr-FR"/>
        </w:rPr>
        <w:t xml:space="preserve"> et Corpus </w:t>
      </w:r>
      <w:proofErr w:type="spellStart"/>
      <w:r w:rsidRPr="006813D0">
        <w:rPr>
          <w:szCs w:val="22"/>
          <w:lang w:val="fr-FR"/>
        </w:rPr>
        <w:t>Sireo</w:t>
      </w:r>
      <w:proofErr w:type="spellEnd"/>
      <w:r w:rsidRPr="006813D0">
        <w:rPr>
          <w:szCs w:val="22"/>
          <w:lang w:val="fr-FR"/>
        </w:rPr>
        <w:t xml:space="preserve"> pour 25,6 milliards d'euros. Au 31 décembre 2020, Swiss Life Asset Managers gérait ainsi 97,5 milliards d'euros de biens immobiliers. Swiss Life Asset Managers emploie plus de 2 300 collaborateurs en Europe.</w:t>
      </w:r>
    </w:p>
    <w:p w14:paraId="23E51FA0" w14:textId="77777777" w:rsidR="002378D7" w:rsidRPr="006813D0" w:rsidRDefault="002378D7" w:rsidP="002378D7">
      <w:pPr>
        <w:jc w:val="both"/>
        <w:rPr>
          <w:szCs w:val="22"/>
          <w:lang w:val="fr-FR"/>
        </w:rPr>
      </w:pPr>
    </w:p>
    <w:p w14:paraId="27FAF672" w14:textId="77777777" w:rsidR="002378D7" w:rsidRPr="006813D0" w:rsidRDefault="002378D7" w:rsidP="002378D7">
      <w:pPr>
        <w:rPr>
          <w:sz w:val="16"/>
          <w:szCs w:val="16"/>
          <w:lang w:val="fr-FR"/>
        </w:rPr>
      </w:pPr>
      <w:r w:rsidRPr="006813D0">
        <w:rPr>
          <w:sz w:val="16"/>
          <w:szCs w:val="16"/>
          <w:lang w:val="fr-FR"/>
        </w:rPr>
        <w:t>1 Enquête 2020 de l’INREV sur les gestionnaires de fonds (sur la base des actifs sous gestion au 31.12.2019)</w:t>
      </w:r>
    </w:p>
    <w:p w14:paraId="61CD4B87" w14:textId="77777777" w:rsidR="002378D7" w:rsidRPr="006813D0" w:rsidRDefault="002378D7" w:rsidP="002378D7">
      <w:pPr>
        <w:tabs>
          <w:tab w:val="left" w:pos="3722"/>
        </w:tabs>
        <w:jc w:val="both"/>
        <w:rPr>
          <w:b/>
          <w:szCs w:val="22"/>
          <w:lang w:val="fr-FR"/>
        </w:rPr>
      </w:pPr>
    </w:p>
    <w:p w14:paraId="1BD76B43" w14:textId="77777777" w:rsidR="002378D7" w:rsidRPr="006813D0" w:rsidRDefault="002378D7" w:rsidP="002378D7">
      <w:pPr>
        <w:tabs>
          <w:tab w:val="left" w:pos="3722"/>
        </w:tabs>
        <w:jc w:val="both"/>
        <w:rPr>
          <w:b/>
          <w:szCs w:val="22"/>
          <w:lang w:val="fr-FR"/>
        </w:rPr>
      </w:pPr>
    </w:p>
    <w:p w14:paraId="323AAE6D" w14:textId="568D6CE4" w:rsidR="002378D7" w:rsidRPr="006813D0" w:rsidRDefault="002378D7" w:rsidP="002378D7">
      <w:pPr>
        <w:tabs>
          <w:tab w:val="left" w:pos="3722"/>
        </w:tabs>
        <w:jc w:val="both"/>
        <w:rPr>
          <w:b/>
          <w:szCs w:val="22"/>
          <w:lang w:val="fr-FR"/>
        </w:rPr>
      </w:pPr>
      <w:r w:rsidRPr="006813D0">
        <w:rPr>
          <w:b/>
          <w:szCs w:val="22"/>
          <w:lang w:val="fr-FR"/>
        </w:rPr>
        <w:t>Contact</w:t>
      </w:r>
      <w:r w:rsidR="00A970CD">
        <w:rPr>
          <w:b/>
          <w:szCs w:val="22"/>
          <w:lang w:val="fr-FR"/>
        </w:rPr>
        <w:t>s</w:t>
      </w:r>
      <w:r w:rsidRPr="006813D0">
        <w:rPr>
          <w:b/>
          <w:szCs w:val="22"/>
          <w:lang w:val="fr-FR"/>
        </w:rPr>
        <w:t xml:space="preserve"> presse Swiss Life Asset Managers France</w:t>
      </w:r>
    </w:p>
    <w:p w14:paraId="58E22488" w14:textId="0D0B996B" w:rsidR="006E6083" w:rsidRPr="006E6083" w:rsidRDefault="006E6083" w:rsidP="00A970CD">
      <w:pPr>
        <w:tabs>
          <w:tab w:val="left" w:pos="3722"/>
        </w:tabs>
        <w:rPr>
          <w:szCs w:val="22"/>
          <w:lang w:val="fr-FR"/>
        </w:rPr>
      </w:pPr>
      <w:r w:rsidRPr="006E6083">
        <w:rPr>
          <w:szCs w:val="22"/>
          <w:lang w:val="fr-FR"/>
        </w:rPr>
        <w:t>Marie CARADEC</w:t>
      </w:r>
      <w:r w:rsidR="00A970CD">
        <w:rPr>
          <w:szCs w:val="22"/>
          <w:lang w:val="fr-FR"/>
        </w:rPr>
        <w:t xml:space="preserve">, </w:t>
      </w:r>
      <w:r w:rsidRPr="006E6083">
        <w:rPr>
          <w:szCs w:val="22"/>
          <w:lang w:val="fr-FR"/>
        </w:rPr>
        <w:t>Responsable de la communication</w:t>
      </w:r>
      <w:r w:rsidR="00A970CD">
        <w:rPr>
          <w:szCs w:val="22"/>
          <w:lang w:val="fr-FR"/>
        </w:rPr>
        <w:br/>
      </w:r>
      <w:r w:rsidRPr="006E6083">
        <w:rPr>
          <w:szCs w:val="22"/>
          <w:lang w:val="fr-FR"/>
        </w:rPr>
        <w:t xml:space="preserve">+33 </w:t>
      </w:r>
      <w:r w:rsidR="000E4E53">
        <w:rPr>
          <w:szCs w:val="22"/>
          <w:lang w:val="fr-FR"/>
        </w:rPr>
        <w:t>(0)</w:t>
      </w:r>
      <w:r w:rsidRPr="006E6083">
        <w:rPr>
          <w:szCs w:val="22"/>
          <w:lang w:val="fr-FR"/>
        </w:rPr>
        <w:t xml:space="preserve">1 40 15 22 04 – </w:t>
      </w:r>
      <w:hyperlink r:id="rId18" w:history="1">
        <w:r w:rsidR="000E4E53" w:rsidRPr="00884AB7">
          <w:rPr>
            <w:rStyle w:val="Lienhypertexte"/>
            <w:szCs w:val="22"/>
            <w:lang w:val="fr-FR"/>
          </w:rPr>
          <w:t>marie.caradec@swisslife-am.com</w:t>
        </w:r>
      </w:hyperlink>
      <w:r w:rsidR="000E4E53">
        <w:rPr>
          <w:szCs w:val="22"/>
          <w:lang w:val="fr-FR"/>
        </w:rPr>
        <w:t xml:space="preserve"> </w:t>
      </w:r>
      <w:r w:rsidRPr="006E6083">
        <w:rPr>
          <w:szCs w:val="22"/>
          <w:lang w:val="fr-FR"/>
        </w:rPr>
        <w:t xml:space="preserve">   </w:t>
      </w:r>
    </w:p>
    <w:p w14:paraId="01125E49" w14:textId="625EF488" w:rsidR="006E6083" w:rsidRPr="002039B0" w:rsidRDefault="00A970CD" w:rsidP="006E6083">
      <w:pPr>
        <w:tabs>
          <w:tab w:val="left" w:pos="3722"/>
        </w:tabs>
        <w:jc w:val="both"/>
        <w:rPr>
          <w:szCs w:val="22"/>
          <w:lang w:val="es-ES"/>
        </w:rPr>
      </w:pPr>
      <w:r>
        <w:rPr>
          <w:szCs w:val="22"/>
          <w:lang w:val="es-ES"/>
        </w:rPr>
        <w:t xml:space="preserve">Agence </w:t>
      </w:r>
      <w:r w:rsidR="006E6083" w:rsidRPr="002039B0">
        <w:rPr>
          <w:szCs w:val="22"/>
          <w:lang w:val="es-ES"/>
        </w:rPr>
        <w:t>FARGO</w:t>
      </w:r>
    </w:p>
    <w:p w14:paraId="38B7BCCF" w14:textId="3F3401E1" w:rsidR="006E6083" w:rsidRPr="002039B0" w:rsidRDefault="006E6083" w:rsidP="006E6083">
      <w:pPr>
        <w:tabs>
          <w:tab w:val="left" w:pos="3722"/>
        </w:tabs>
        <w:jc w:val="both"/>
        <w:rPr>
          <w:szCs w:val="22"/>
          <w:lang w:val="es-ES"/>
        </w:rPr>
      </w:pPr>
      <w:r w:rsidRPr="002039B0">
        <w:rPr>
          <w:szCs w:val="22"/>
          <w:lang w:val="es-ES"/>
        </w:rPr>
        <w:t xml:space="preserve">Yohann HENDRICE - + 33 (0)6 16 83 28 89 – </w:t>
      </w:r>
      <w:hyperlink r:id="rId19" w:history="1">
        <w:r w:rsidR="000E4E53" w:rsidRPr="00884AB7">
          <w:rPr>
            <w:rStyle w:val="Lienhypertexte"/>
            <w:szCs w:val="22"/>
            <w:lang w:val="es-ES"/>
          </w:rPr>
          <w:t>yhendrice@fargo.agency</w:t>
        </w:r>
      </w:hyperlink>
      <w:r w:rsidR="000E4E53">
        <w:rPr>
          <w:szCs w:val="22"/>
          <w:lang w:val="es-ES"/>
        </w:rPr>
        <w:t xml:space="preserve"> </w:t>
      </w:r>
    </w:p>
    <w:p w14:paraId="7BD32411" w14:textId="13D098C8" w:rsidR="006E6083" w:rsidRPr="000E4E53" w:rsidRDefault="006E6083" w:rsidP="006E6083">
      <w:pPr>
        <w:tabs>
          <w:tab w:val="left" w:pos="3722"/>
        </w:tabs>
        <w:jc w:val="both"/>
        <w:rPr>
          <w:szCs w:val="22"/>
          <w:lang w:val="es-ES"/>
        </w:rPr>
      </w:pPr>
      <w:r w:rsidRPr="000E4E53">
        <w:rPr>
          <w:szCs w:val="22"/>
          <w:lang w:val="es-ES"/>
        </w:rPr>
        <w:t xml:space="preserve">Héloïse LACHOUQUE - + 33 (0)6 16 83 04 94– </w:t>
      </w:r>
      <w:hyperlink r:id="rId20" w:history="1">
        <w:r w:rsidR="000E4E53" w:rsidRPr="000E4E53">
          <w:rPr>
            <w:rStyle w:val="Lienhypertexte"/>
            <w:szCs w:val="22"/>
            <w:lang w:val="es-ES"/>
          </w:rPr>
          <w:t>hlachouque@fargo.agency</w:t>
        </w:r>
      </w:hyperlink>
      <w:r w:rsidR="000E4E53" w:rsidRPr="000E4E53">
        <w:rPr>
          <w:szCs w:val="22"/>
          <w:lang w:val="es-ES"/>
        </w:rPr>
        <w:t xml:space="preserve"> </w:t>
      </w:r>
    </w:p>
    <w:sectPr w:rsidR="006E6083" w:rsidRPr="000E4E53" w:rsidSect="00F24750">
      <w:footerReference w:type="default" r:id="rId21"/>
      <w:pgSz w:w="11906" w:h="16838"/>
      <w:pgMar w:top="993" w:right="1418" w:bottom="709"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832BA" w14:textId="77777777" w:rsidR="00B76FB5" w:rsidRDefault="00B76FB5">
      <w:r>
        <w:separator/>
      </w:r>
    </w:p>
  </w:endnote>
  <w:endnote w:type="continuationSeparator" w:id="0">
    <w:p w14:paraId="6FDA5082" w14:textId="77777777" w:rsidR="00B76FB5" w:rsidRDefault="00B7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PCL6)">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tisSemiSans">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182B" w14:textId="006D426D" w:rsidR="001E277D" w:rsidRDefault="001E277D">
    <w:pPr>
      <w:pStyle w:val="Pieddepage"/>
    </w:pPr>
    <w:r>
      <w:rPr>
        <w:noProof/>
        <w:lang w:val="fr-FR"/>
      </w:rPr>
      <mc:AlternateContent>
        <mc:Choice Requires="wps">
          <w:drawing>
            <wp:anchor distT="0" distB="0" distL="114300" distR="114300" simplePos="0" relativeHeight="251658752" behindDoc="0" locked="0" layoutInCell="0" allowOverlap="1" wp14:anchorId="7A9A0EFC" wp14:editId="6D82B4DE">
              <wp:simplePos x="0" y="0"/>
              <wp:positionH relativeFrom="page">
                <wp:posOffset>0</wp:posOffset>
              </wp:positionH>
              <wp:positionV relativeFrom="page">
                <wp:posOffset>10227945</wp:posOffset>
              </wp:positionV>
              <wp:extent cx="7560310" cy="273050"/>
              <wp:effectExtent l="0" t="0" r="0" b="12700"/>
              <wp:wrapNone/>
              <wp:docPr id="2" name="MSIPCMa0d64e5d980258b9ae019a96" descr="{&quot;HashCode&quot;:-2732406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B56E03" w14:textId="10807319" w:rsidR="001E277D" w:rsidRPr="001E277D" w:rsidRDefault="001E277D" w:rsidP="001E277D">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9A0EFC" id="_x0000_t202" coordsize="21600,21600" o:spt="202" path="m,l,21600r21600,l21600,xe">
              <v:stroke joinstyle="miter"/>
              <v:path gradientshapeok="t" o:connecttype="rect"/>
            </v:shapetype>
            <v:shape id="MSIPCMa0d64e5d980258b9ae019a96" o:spid="_x0000_s1026" type="#_x0000_t202" alt="{&quot;HashCode&quot;:-273240658,&quot;Height&quot;:841.0,&quot;Width&quot;:595.0,&quot;Placement&quot;:&quot;Footer&quot;,&quot;Index&quot;:&quot;Primary&quot;,&quot;Section&quot;:1,&quot;Top&quot;:0.0,&quot;Left&quot;:0.0}" style="position:absolute;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urF26xgDAAA2BgAADgAAAAAAAAAAAAAA&#10;AAAuAgAAZHJzL2Uyb0RvYy54bWxQSwECLQAUAAYACAAAACEAn9VB7N8AAAALAQAADwAAAAAAAAAA&#10;AAAAAAByBQAAZHJzL2Rvd25yZXYueG1sUEsFBgAAAAAEAAQA8wAAAH4GAAAAAA==&#10;" o:allowincell="f" filled="f" stroked="f" strokeweight=".5pt">
              <v:textbox inset=",0,,0">
                <w:txbxContent>
                  <w:p w14:paraId="45B56E03" w14:textId="10807319" w:rsidR="001E277D" w:rsidRPr="001E277D" w:rsidRDefault="001E277D" w:rsidP="001E277D">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F2B0" w14:textId="77777777" w:rsidR="00B76FB5" w:rsidRDefault="00B76FB5">
      <w:r>
        <w:separator/>
      </w:r>
    </w:p>
  </w:footnote>
  <w:footnote w:type="continuationSeparator" w:id="0">
    <w:p w14:paraId="6DFCD334" w14:textId="77777777" w:rsidR="00B76FB5" w:rsidRDefault="00B76FB5">
      <w:r>
        <w:continuationSeparator/>
      </w:r>
    </w:p>
  </w:footnote>
  <w:footnote w:id="1">
    <w:p w14:paraId="11D88DB4" w14:textId="12F019B6" w:rsidR="004306A9" w:rsidRPr="008E2837" w:rsidRDefault="004306A9" w:rsidP="004306A9">
      <w:pPr>
        <w:pStyle w:val="Notedebasdepage"/>
        <w:rPr>
          <w:lang w:val="fr-FR"/>
        </w:rPr>
      </w:pPr>
      <w:r>
        <w:rPr>
          <w:rStyle w:val="Appelnotedebasdep"/>
        </w:rPr>
        <w:footnoteRef/>
      </w:r>
      <w:r>
        <w:t xml:space="preserve"> </w:t>
      </w:r>
      <w:r w:rsidR="00BC0DB4" w:rsidRPr="00BC0DB4">
        <w:t xml:space="preserve">Schoeffler, P. (2020). </w:t>
      </w:r>
      <w:r>
        <w:t xml:space="preserve">Liquidity of real estate funds available to the </w:t>
      </w:r>
      <w:proofErr w:type="gramStart"/>
      <w:r>
        <w:t>general public</w:t>
      </w:r>
      <w:proofErr w:type="gramEnd"/>
      <w:r>
        <w:t xml:space="preserve"> in France. </w:t>
      </w:r>
      <w:r w:rsidRPr="008E2837">
        <w:rPr>
          <w:lang w:val="fr-FR"/>
        </w:rPr>
        <w:t>Association française des Sociétés</w:t>
      </w:r>
      <w:r w:rsidR="00BC0DB4" w:rsidRPr="008E2837">
        <w:rPr>
          <w:lang w:val="fr-FR"/>
        </w:rPr>
        <w:t xml:space="preserve"> </w:t>
      </w:r>
      <w:r w:rsidRPr="008E2837">
        <w:rPr>
          <w:lang w:val="fr-FR"/>
        </w:rPr>
        <w:t>de Placement Immobilier (ASPIM).</w:t>
      </w:r>
    </w:p>
  </w:footnote>
  <w:footnote w:id="2">
    <w:p w14:paraId="5FC4C33C" w14:textId="505782AD" w:rsidR="00795D5F" w:rsidRPr="00795D5F" w:rsidRDefault="00795D5F">
      <w:pPr>
        <w:pStyle w:val="Notedebasdepage"/>
        <w:rPr>
          <w:lang w:val="fr-FR"/>
        </w:rPr>
      </w:pPr>
      <w:r>
        <w:rPr>
          <w:rStyle w:val="Appelnotedebasdep"/>
        </w:rPr>
        <w:footnoteRef/>
      </w:r>
      <w:r w:rsidRPr="00371974">
        <w:rPr>
          <w:lang w:val="fr-FR"/>
        </w:rPr>
        <w:t xml:space="preserve"> L’étude porte spécifiquement sur les SCPI en immobilier commercial. Ils ont le plus long </w:t>
      </w:r>
      <w:proofErr w:type="spellStart"/>
      <w:r w:rsidRPr="00371974">
        <w:rPr>
          <w:rFonts w:cstheme="minorHAnsi"/>
          <w:lang w:val="fr-FR"/>
        </w:rPr>
        <w:t>track</w:t>
      </w:r>
      <w:proofErr w:type="spellEnd"/>
      <w:r w:rsidRPr="00371974">
        <w:rPr>
          <w:rFonts w:cstheme="minorHAnsi"/>
          <w:lang w:val="fr-FR"/>
        </w:rPr>
        <w:t xml:space="preserve">-record </w:t>
      </w:r>
      <w:r w:rsidRPr="00371974">
        <w:rPr>
          <w:lang w:val="fr-FR"/>
        </w:rPr>
        <w:t xml:space="preserve">et représentent 94 % du marché en termes d’actifs sous gestion </w:t>
      </w:r>
    </w:p>
  </w:footnote>
  <w:footnote w:id="3">
    <w:p w14:paraId="201E3EAE" w14:textId="2D70D8B6" w:rsidR="00DF0D6E" w:rsidRPr="00371974" w:rsidRDefault="00DF0D6E" w:rsidP="00DF0D6E">
      <w:pPr>
        <w:pStyle w:val="Notedebasdepage"/>
        <w:rPr>
          <w:lang w:val="fr-FR"/>
        </w:rPr>
      </w:pPr>
      <w:r>
        <w:rPr>
          <w:rStyle w:val="Appelnotedebasdep"/>
        </w:rPr>
        <w:footnoteRef/>
      </w:r>
      <w:r w:rsidRPr="00371974">
        <w:rPr>
          <w:lang w:val="fr-FR"/>
        </w:rPr>
        <w:t xml:space="preserve"> </w:t>
      </w:r>
      <w:r w:rsidR="00100EF4" w:rsidRPr="00371974">
        <w:rPr>
          <w:lang w:val="fr-FR"/>
        </w:rPr>
        <w:t>L’étude porte sur un échantillon représentatif de 53 SCPI</w:t>
      </w:r>
      <w:r w:rsidR="00883A22">
        <w:rPr>
          <w:lang w:val="fr-FR"/>
        </w:rPr>
        <w:t xml:space="preserve"> durant la période 2003-2019</w:t>
      </w:r>
      <w:r w:rsidR="00065280" w:rsidRPr="00371974">
        <w:rPr>
          <w:lang w:val="fr-FR"/>
        </w:rPr>
        <w:t xml:space="preserve">. </w:t>
      </w:r>
      <w:r w:rsidR="00100EF4" w:rsidRPr="00371974">
        <w:rPr>
          <w:lang w:val="fr-FR"/>
        </w:rPr>
        <w:t>Les données nous ont été aimablement fournies par l’</w:t>
      </w:r>
      <w:r w:rsidR="00065280" w:rsidRPr="00371974">
        <w:rPr>
          <w:i/>
          <w:iCs/>
          <w:lang w:val="fr-FR"/>
        </w:rPr>
        <w:t xml:space="preserve">Institut </w:t>
      </w:r>
      <w:r w:rsidR="0067709A" w:rsidRPr="00371974">
        <w:rPr>
          <w:i/>
          <w:iCs/>
          <w:lang w:val="fr-FR"/>
        </w:rPr>
        <w:t xml:space="preserve">de l’Epargne Immobilière et </w:t>
      </w:r>
      <w:r w:rsidR="00B35BE8" w:rsidRPr="00371974">
        <w:rPr>
          <w:i/>
          <w:iCs/>
          <w:lang w:val="fr-FR"/>
        </w:rPr>
        <w:t>Foncière</w:t>
      </w:r>
      <w:r w:rsidR="0067709A" w:rsidRPr="00371974">
        <w:rPr>
          <w:lang w:val="fr-FR"/>
        </w:rPr>
        <w:t xml:space="preserve"> (IEIF).</w:t>
      </w:r>
    </w:p>
  </w:footnote>
  <w:footnote w:id="4">
    <w:p w14:paraId="34C470E0" w14:textId="5872018F" w:rsidR="005B2754" w:rsidRPr="00483DBE" w:rsidRDefault="005B2754">
      <w:pPr>
        <w:pStyle w:val="Notedebasdepage"/>
        <w:rPr>
          <w:lang w:val="fr-FR"/>
        </w:rPr>
      </w:pPr>
      <w:r>
        <w:rPr>
          <w:rStyle w:val="Appelnotedebasdep"/>
        </w:rPr>
        <w:footnoteRef/>
      </w:r>
      <w:r>
        <w:t xml:space="preserve"> </w:t>
      </w:r>
      <w:proofErr w:type="spellStart"/>
      <w:r w:rsidR="004246DF">
        <w:t>C’est</w:t>
      </w:r>
      <w:proofErr w:type="spellEnd"/>
      <w:r w:rsidR="004F7AF1">
        <w:t>-</w:t>
      </w:r>
      <w:r w:rsidR="004246DF">
        <w:t>à</w:t>
      </w:r>
      <w:r w:rsidR="004F7AF1">
        <w:t>-</w:t>
      </w:r>
      <w:r w:rsidR="004246DF">
        <w:t xml:space="preserve">dire </w:t>
      </w:r>
      <w:r w:rsidR="004F7AF1">
        <w:t>a</w:t>
      </w:r>
      <w:proofErr w:type="spellStart"/>
      <w:r w:rsidR="00404E70">
        <w:rPr>
          <w:lang w:val="fr-FR"/>
        </w:rPr>
        <w:t>vec</w:t>
      </w:r>
      <w:proofErr w:type="spellEnd"/>
      <w:r>
        <w:rPr>
          <w:lang w:val="fr-FR"/>
        </w:rPr>
        <w:t xml:space="preserve"> 53 constitu</w:t>
      </w:r>
      <w:r w:rsidR="00404E70">
        <w:rPr>
          <w:lang w:val="fr-FR"/>
        </w:rPr>
        <w:t>a</w:t>
      </w:r>
      <w:r>
        <w:rPr>
          <w:lang w:val="fr-FR"/>
        </w:rPr>
        <w:t>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932"/>
    <w:multiLevelType w:val="hybridMultilevel"/>
    <w:tmpl w:val="7FC42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535D4"/>
    <w:multiLevelType w:val="hybridMultilevel"/>
    <w:tmpl w:val="83689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63E73"/>
    <w:multiLevelType w:val="hybridMultilevel"/>
    <w:tmpl w:val="4882296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06478"/>
    <w:multiLevelType w:val="hybridMultilevel"/>
    <w:tmpl w:val="A7644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33F2A"/>
    <w:multiLevelType w:val="hybridMultilevel"/>
    <w:tmpl w:val="C66E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313A8"/>
    <w:multiLevelType w:val="hybridMultilevel"/>
    <w:tmpl w:val="201AFB72"/>
    <w:lvl w:ilvl="0" w:tplc="B7A247A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C330411"/>
    <w:multiLevelType w:val="hybridMultilevel"/>
    <w:tmpl w:val="419C743A"/>
    <w:lvl w:ilvl="0" w:tplc="4CC220BC">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303414A"/>
    <w:multiLevelType w:val="hybridMultilevel"/>
    <w:tmpl w:val="5D2E1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4A5460"/>
    <w:multiLevelType w:val="hybridMultilevel"/>
    <w:tmpl w:val="5C7A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07C92"/>
    <w:multiLevelType w:val="hybridMultilevel"/>
    <w:tmpl w:val="52EEEE7E"/>
    <w:lvl w:ilvl="0" w:tplc="19D67A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59760C"/>
    <w:multiLevelType w:val="hybridMultilevel"/>
    <w:tmpl w:val="0B226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9"/>
  </w:num>
  <w:num w:numId="9">
    <w:abstractNumId w:val="5"/>
  </w:num>
  <w:num w:numId="10">
    <w:abstractNumId w:val="10"/>
  </w:num>
  <w:num w:numId="11">
    <w:abstractNumId w:val="12"/>
  </w:num>
  <w:num w:numId="12">
    <w:abstractNumId w:val="3"/>
  </w:num>
  <w:num w:numId="13">
    <w:abstractNumId w:val="0"/>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0"/>
    <w:rsid w:val="00002229"/>
    <w:rsid w:val="000026A1"/>
    <w:rsid w:val="000029A4"/>
    <w:rsid w:val="00004F08"/>
    <w:rsid w:val="00005BF6"/>
    <w:rsid w:val="00006D7B"/>
    <w:rsid w:val="000078B8"/>
    <w:rsid w:val="0001354B"/>
    <w:rsid w:val="000138CF"/>
    <w:rsid w:val="00017328"/>
    <w:rsid w:val="000208CF"/>
    <w:rsid w:val="00023DEF"/>
    <w:rsid w:val="00024026"/>
    <w:rsid w:val="000309EE"/>
    <w:rsid w:val="00034366"/>
    <w:rsid w:val="000353ED"/>
    <w:rsid w:val="0003571D"/>
    <w:rsid w:val="0004000E"/>
    <w:rsid w:val="00046C12"/>
    <w:rsid w:val="000518D7"/>
    <w:rsid w:val="000521B1"/>
    <w:rsid w:val="0005230C"/>
    <w:rsid w:val="00053520"/>
    <w:rsid w:val="00057F94"/>
    <w:rsid w:val="00065280"/>
    <w:rsid w:val="0006542B"/>
    <w:rsid w:val="0006559F"/>
    <w:rsid w:val="00070938"/>
    <w:rsid w:val="000751EF"/>
    <w:rsid w:val="00075A5B"/>
    <w:rsid w:val="000818A4"/>
    <w:rsid w:val="000822EB"/>
    <w:rsid w:val="00083047"/>
    <w:rsid w:val="000867E0"/>
    <w:rsid w:val="0008711D"/>
    <w:rsid w:val="000937CA"/>
    <w:rsid w:val="00094321"/>
    <w:rsid w:val="00095060"/>
    <w:rsid w:val="000961CA"/>
    <w:rsid w:val="0009747F"/>
    <w:rsid w:val="000977BC"/>
    <w:rsid w:val="000B42B0"/>
    <w:rsid w:val="000B6C0D"/>
    <w:rsid w:val="000B76E6"/>
    <w:rsid w:val="000C385A"/>
    <w:rsid w:val="000C46F8"/>
    <w:rsid w:val="000C4713"/>
    <w:rsid w:val="000C54E5"/>
    <w:rsid w:val="000C5637"/>
    <w:rsid w:val="000D04CC"/>
    <w:rsid w:val="000D123D"/>
    <w:rsid w:val="000D1AD3"/>
    <w:rsid w:val="000D30FB"/>
    <w:rsid w:val="000D51B5"/>
    <w:rsid w:val="000E0149"/>
    <w:rsid w:val="000E4E53"/>
    <w:rsid w:val="000E4E66"/>
    <w:rsid w:val="000E544B"/>
    <w:rsid w:val="000E585D"/>
    <w:rsid w:val="000E706B"/>
    <w:rsid w:val="000F1556"/>
    <w:rsid w:val="000F6C7E"/>
    <w:rsid w:val="000F7835"/>
    <w:rsid w:val="000F7D4C"/>
    <w:rsid w:val="00100EF4"/>
    <w:rsid w:val="00101690"/>
    <w:rsid w:val="0010231C"/>
    <w:rsid w:val="00104363"/>
    <w:rsid w:val="00106D4E"/>
    <w:rsid w:val="00107976"/>
    <w:rsid w:val="00110AEF"/>
    <w:rsid w:val="001114D8"/>
    <w:rsid w:val="00111549"/>
    <w:rsid w:val="00111BCF"/>
    <w:rsid w:val="00113480"/>
    <w:rsid w:val="00114469"/>
    <w:rsid w:val="00114DEF"/>
    <w:rsid w:val="00115192"/>
    <w:rsid w:val="00115871"/>
    <w:rsid w:val="001161EC"/>
    <w:rsid w:val="00116D97"/>
    <w:rsid w:val="00116E86"/>
    <w:rsid w:val="00120A85"/>
    <w:rsid w:val="00123075"/>
    <w:rsid w:val="00123118"/>
    <w:rsid w:val="00123D7B"/>
    <w:rsid w:val="00124C64"/>
    <w:rsid w:val="00125CE7"/>
    <w:rsid w:val="00127776"/>
    <w:rsid w:val="00130341"/>
    <w:rsid w:val="00132444"/>
    <w:rsid w:val="001347B1"/>
    <w:rsid w:val="0013509F"/>
    <w:rsid w:val="001357C2"/>
    <w:rsid w:val="001372DA"/>
    <w:rsid w:val="00141F2C"/>
    <w:rsid w:val="0014784E"/>
    <w:rsid w:val="001532CC"/>
    <w:rsid w:val="001547F7"/>
    <w:rsid w:val="00157B0D"/>
    <w:rsid w:val="00164F84"/>
    <w:rsid w:val="00165C3E"/>
    <w:rsid w:val="001661F2"/>
    <w:rsid w:val="00171C6B"/>
    <w:rsid w:val="00172430"/>
    <w:rsid w:val="001751E7"/>
    <w:rsid w:val="001804FF"/>
    <w:rsid w:val="001806A2"/>
    <w:rsid w:val="001866B0"/>
    <w:rsid w:val="001869A2"/>
    <w:rsid w:val="0018701E"/>
    <w:rsid w:val="00190748"/>
    <w:rsid w:val="00192D3C"/>
    <w:rsid w:val="00193F42"/>
    <w:rsid w:val="0019679B"/>
    <w:rsid w:val="001A1178"/>
    <w:rsid w:val="001A7093"/>
    <w:rsid w:val="001B1BD2"/>
    <w:rsid w:val="001B54BE"/>
    <w:rsid w:val="001C17C4"/>
    <w:rsid w:val="001C318A"/>
    <w:rsid w:val="001C3D1D"/>
    <w:rsid w:val="001C7C6D"/>
    <w:rsid w:val="001D06E5"/>
    <w:rsid w:val="001D4FA0"/>
    <w:rsid w:val="001D69E2"/>
    <w:rsid w:val="001D6D13"/>
    <w:rsid w:val="001D7FA6"/>
    <w:rsid w:val="001E1712"/>
    <w:rsid w:val="001E19C8"/>
    <w:rsid w:val="001E277D"/>
    <w:rsid w:val="001E28D2"/>
    <w:rsid w:val="001E6E8B"/>
    <w:rsid w:val="001E7477"/>
    <w:rsid w:val="001F0D90"/>
    <w:rsid w:val="001F12B9"/>
    <w:rsid w:val="001F26F7"/>
    <w:rsid w:val="001F5E8D"/>
    <w:rsid w:val="00202239"/>
    <w:rsid w:val="00202CCD"/>
    <w:rsid w:val="002031C4"/>
    <w:rsid w:val="002039B0"/>
    <w:rsid w:val="00204B6D"/>
    <w:rsid w:val="00205AF3"/>
    <w:rsid w:val="00206FCA"/>
    <w:rsid w:val="00210A64"/>
    <w:rsid w:val="002160DB"/>
    <w:rsid w:val="00222172"/>
    <w:rsid w:val="002226C7"/>
    <w:rsid w:val="00225DD0"/>
    <w:rsid w:val="00233198"/>
    <w:rsid w:val="002378D7"/>
    <w:rsid w:val="002417DD"/>
    <w:rsid w:val="00245654"/>
    <w:rsid w:val="00245F77"/>
    <w:rsid w:val="00246052"/>
    <w:rsid w:val="002471EA"/>
    <w:rsid w:val="00251182"/>
    <w:rsid w:val="00251951"/>
    <w:rsid w:val="00251A9B"/>
    <w:rsid w:val="00252526"/>
    <w:rsid w:val="00256214"/>
    <w:rsid w:val="00262300"/>
    <w:rsid w:val="0026356A"/>
    <w:rsid w:val="00264496"/>
    <w:rsid w:val="00264509"/>
    <w:rsid w:val="00267314"/>
    <w:rsid w:val="00267CE9"/>
    <w:rsid w:val="00272710"/>
    <w:rsid w:val="00275CFB"/>
    <w:rsid w:val="00276EDA"/>
    <w:rsid w:val="00277FD5"/>
    <w:rsid w:val="00280127"/>
    <w:rsid w:val="002810C3"/>
    <w:rsid w:val="00284794"/>
    <w:rsid w:val="002864F7"/>
    <w:rsid w:val="002875DE"/>
    <w:rsid w:val="002902DF"/>
    <w:rsid w:val="00294531"/>
    <w:rsid w:val="002954C1"/>
    <w:rsid w:val="00296C3C"/>
    <w:rsid w:val="002A0140"/>
    <w:rsid w:val="002A2548"/>
    <w:rsid w:val="002A70AF"/>
    <w:rsid w:val="002A7EC2"/>
    <w:rsid w:val="002B260A"/>
    <w:rsid w:val="002B3E77"/>
    <w:rsid w:val="002B57EB"/>
    <w:rsid w:val="002B67E2"/>
    <w:rsid w:val="002B7883"/>
    <w:rsid w:val="002C6B7E"/>
    <w:rsid w:val="002D1611"/>
    <w:rsid w:val="002D3C97"/>
    <w:rsid w:val="002D4270"/>
    <w:rsid w:val="002E1030"/>
    <w:rsid w:val="002E2EE7"/>
    <w:rsid w:val="002E3401"/>
    <w:rsid w:val="002E5B90"/>
    <w:rsid w:val="002E6F08"/>
    <w:rsid w:val="002F28DE"/>
    <w:rsid w:val="002F6948"/>
    <w:rsid w:val="002F77B4"/>
    <w:rsid w:val="002F7CE8"/>
    <w:rsid w:val="00301940"/>
    <w:rsid w:val="00302387"/>
    <w:rsid w:val="00311456"/>
    <w:rsid w:val="00311620"/>
    <w:rsid w:val="003139AB"/>
    <w:rsid w:val="00316A02"/>
    <w:rsid w:val="003177A3"/>
    <w:rsid w:val="00321D53"/>
    <w:rsid w:val="003335D6"/>
    <w:rsid w:val="00333BAF"/>
    <w:rsid w:val="00336A71"/>
    <w:rsid w:val="00337F9B"/>
    <w:rsid w:val="0034608F"/>
    <w:rsid w:val="003461AE"/>
    <w:rsid w:val="003475FA"/>
    <w:rsid w:val="00347611"/>
    <w:rsid w:val="00350405"/>
    <w:rsid w:val="0035330E"/>
    <w:rsid w:val="00354852"/>
    <w:rsid w:val="003622AD"/>
    <w:rsid w:val="00363CCF"/>
    <w:rsid w:val="00363DDA"/>
    <w:rsid w:val="00365FC9"/>
    <w:rsid w:val="00370573"/>
    <w:rsid w:val="00371974"/>
    <w:rsid w:val="00371F5A"/>
    <w:rsid w:val="003742EB"/>
    <w:rsid w:val="00377152"/>
    <w:rsid w:val="00380DE1"/>
    <w:rsid w:val="00380E94"/>
    <w:rsid w:val="00383109"/>
    <w:rsid w:val="0038311B"/>
    <w:rsid w:val="003836FE"/>
    <w:rsid w:val="0038576B"/>
    <w:rsid w:val="00386F35"/>
    <w:rsid w:val="0038731A"/>
    <w:rsid w:val="0039356B"/>
    <w:rsid w:val="003939FB"/>
    <w:rsid w:val="003949A1"/>
    <w:rsid w:val="003958B1"/>
    <w:rsid w:val="00395A65"/>
    <w:rsid w:val="003A163A"/>
    <w:rsid w:val="003A6316"/>
    <w:rsid w:val="003B0260"/>
    <w:rsid w:val="003B13CC"/>
    <w:rsid w:val="003B7EE3"/>
    <w:rsid w:val="003C46B1"/>
    <w:rsid w:val="003C6EA1"/>
    <w:rsid w:val="003C770D"/>
    <w:rsid w:val="003D0D93"/>
    <w:rsid w:val="003D122C"/>
    <w:rsid w:val="003D359D"/>
    <w:rsid w:val="003D6648"/>
    <w:rsid w:val="003E02F0"/>
    <w:rsid w:val="003E09C3"/>
    <w:rsid w:val="003E21EE"/>
    <w:rsid w:val="003E7E9C"/>
    <w:rsid w:val="003E7FCB"/>
    <w:rsid w:val="003F19A1"/>
    <w:rsid w:val="003F700C"/>
    <w:rsid w:val="00401D12"/>
    <w:rsid w:val="0040212B"/>
    <w:rsid w:val="0040284B"/>
    <w:rsid w:val="00404E70"/>
    <w:rsid w:val="00406382"/>
    <w:rsid w:val="004137C9"/>
    <w:rsid w:val="00413E33"/>
    <w:rsid w:val="00420DCA"/>
    <w:rsid w:val="004246DF"/>
    <w:rsid w:val="004306A9"/>
    <w:rsid w:val="004331E2"/>
    <w:rsid w:val="00433D4A"/>
    <w:rsid w:val="004343B9"/>
    <w:rsid w:val="0043707F"/>
    <w:rsid w:val="004409C6"/>
    <w:rsid w:val="00441E8E"/>
    <w:rsid w:val="00443539"/>
    <w:rsid w:val="00444C61"/>
    <w:rsid w:val="00451A59"/>
    <w:rsid w:val="00452C34"/>
    <w:rsid w:val="00453595"/>
    <w:rsid w:val="004540A3"/>
    <w:rsid w:val="004624E0"/>
    <w:rsid w:val="00462BC2"/>
    <w:rsid w:val="00463C32"/>
    <w:rsid w:val="00465FB5"/>
    <w:rsid w:val="00470BCD"/>
    <w:rsid w:val="004772BB"/>
    <w:rsid w:val="00482282"/>
    <w:rsid w:val="00482F9F"/>
    <w:rsid w:val="00483DBE"/>
    <w:rsid w:val="00490976"/>
    <w:rsid w:val="004951FE"/>
    <w:rsid w:val="004977F1"/>
    <w:rsid w:val="004A06F2"/>
    <w:rsid w:val="004A0A00"/>
    <w:rsid w:val="004A2920"/>
    <w:rsid w:val="004A6E31"/>
    <w:rsid w:val="004A71D8"/>
    <w:rsid w:val="004A7AFB"/>
    <w:rsid w:val="004B0ACA"/>
    <w:rsid w:val="004B6220"/>
    <w:rsid w:val="004C0CCD"/>
    <w:rsid w:val="004C4DC3"/>
    <w:rsid w:val="004C6307"/>
    <w:rsid w:val="004C7D2B"/>
    <w:rsid w:val="004D0478"/>
    <w:rsid w:val="004D1666"/>
    <w:rsid w:val="004D170E"/>
    <w:rsid w:val="004D381F"/>
    <w:rsid w:val="004D6761"/>
    <w:rsid w:val="004E381F"/>
    <w:rsid w:val="004E3980"/>
    <w:rsid w:val="004E7315"/>
    <w:rsid w:val="004E7CAA"/>
    <w:rsid w:val="004F25FC"/>
    <w:rsid w:val="004F4DD6"/>
    <w:rsid w:val="004F61D3"/>
    <w:rsid w:val="004F7AF1"/>
    <w:rsid w:val="004F7E21"/>
    <w:rsid w:val="005036C8"/>
    <w:rsid w:val="0050445F"/>
    <w:rsid w:val="005057B5"/>
    <w:rsid w:val="005072DD"/>
    <w:rsid w:val="00507C7A"/>
    <w:rsid w:val="00510B9B"/>
    <w:rsid w:val="005148F4"/>
    <w:rsid w:val="0051554B"/>
    <w:rsid w:val="00516969"/>
    <w:rsid w:val="00521A13"/>
    <w:rsid w:val="005224F9"/>
    <w:rsid w:val="005245F4"/>
    <w:rsid w:val="005271C3"/>
    <w:rsid w:val="0053387F"/>
    <w:rsid w:val="005350B2"/>
    <w:rsid w:val="00536934"/>
    <w:rsid w:val="00537D6D"/>
    <w:rsid w:val="0054020A"/>
    <w:rsid w:val="005402CD"/>
    <w:rsid w:val="00544FAD"/>
    <w:rsid w:val="005507DC"/>
    <w:rsid w:val="00551BD6"/>
    <w:rsid w:val="0055378E"/>
    <w:rsid w:val="005551BA"/>
    <w:rsid w:val="005605EF"/>
    <w:rsid w:val="00573305"/>
    <w:rsid w:val="005737EB"/>
    <w:rsid w:val="00574041"/>
    <w:rsid w:val="005763AB"/>
    <w:rsid w:val="0058040E"/>
    <w:rsid w:val="005833E1"/>
    <w:rsid w:val="00583888"/>
    <w:rsid w:val="00584BED"/>
    <w:rsid w:val="00585697"/>
    <w:rsid w:val="005907E0"/>
    <w:rsid w:val="00592395"/>
    <w:rsid w:val="00592573"/>
    <w:rsid w:val="00596517"/>
    <w:rsid w:val="0059691A"/>
    <w:rsid w:val="00596B95"/>
    <w:rsid w:val="005A06EC"/>
    <w:rsid w:val="005A1DF7"/>
    <w:rsid w:val="005A3CEC"/>
    <w:rsid w:val="005A6BF8"/>
    <w:rsid w:val="005B0D4C"/>
    <w:rsid w:val="005B1013"/>
    <w:rsid w:val="005B223D"/>
    <w:rsid w:val="005B2754"/>
    <w:rsid w:val="005B51B1"/>
    <w:rsid w:val="005B793B"/>
    <w:rsid w:val="005C3CA7"/>
    <w:rsid w:val="005C45F8"/>
    <w:rsid w:val="005C4DA1"/>
    <w:rsid w:val="005C7F17"/>
    <w:rsid w:val="005D1618"/>
    <w:rsid w:val="005D3B19"/>
    <w:rsid w:val="005D3EB1"/>
    <w:rsid w:val="005D3F2C"/>
    <w:rsid w:val="005D45BC"/>
    <w:rsid w:val="005E1392"/>
    <w:rsid w:val="005E2200"/>
    <w:rsid w:val="005E3F91"/>
    <w:rsid w:val="005E711B"/>
    <w:rsid w:val="005E7CAA"/>
    <w:rsid w:val="005F001C"/>
    <w:rsid w:val="005F3172"/>
    <w:rsid w:val="005F349C"/>
    <w:rsid w:val="005F36A8"/>
    <w:rsid w:val="005F4AD4"/>
    <w:rsid w:val="005F52BC"/>
    <w:rsid w:val="0060457D"/>
    <w:rsid w:val="006077E4"/>
    <w:rsid w:val="00611A3B"/>
    <w:rsid w:val="006131EE"/>
    <w:rsid w:val="00622B38"/>
    <w:rsid w:val="0062427B"/>
    <w:rsid w:val="00625333"/>
    <w:rsid w:val="00630AD5"/>
    <w:rsid w:val="00631508"/>
    <w:rsid w:val="006349B3"/>
    <w:rsid w:val="0063565D"/>
    <w:rsid w:val="00635AAF"/>
    <w:rsid w:val="00635D2E"/>
    <w:rsid w:val="00640D33"/>
    <w:rsid w:val="0064217D"/>
    <w:rsid w:val="006428D6"/>
    <w:rsid w:val="00652DF1"/>
    <w:rsid w:val="0065588C"/>
    <w:rsid w:val="00657D97"/>
    <w:rsid w:val="0066063A"/>
    <w:rsid w:val="00661D27"/>
    <w:rsid w:val="00670F20"/>
    <w:rsid w:val="00672773"/>
    <w:rsid w:val="00672B0E"/>
    <w:rsid w:val="00674355"/>
    <w:rsid w:val="00676578"/>
    <w:rsid w:val="00676F17"/>
    <w:rsid w:val="00676FB2"/>
    <w:rsid w:val="0067709A"/>
    <w:rsid w:val="00677BBC"/>
    <w:rsid w:val="006813D0"/>
    <w:rsid w:val="00681E0D"/>
    <w:rsid w:val="006827E0"/>
    <w:rsid w:val="00683FD7"/>
    <w:rsid w:val="006852C0"/>
    <w:rsid w:val="00693C9E"/>
    <w:rsid w:val="00693F26"/>
    <w:rsid w:val="00696CD9"/>
    <w:rsid w:val="006978A3"/>
    <w:rsid w:val="006A1DC5"/>
    <w:rsid w:val="006A7440"/>
    <w:rsid w:val="006A77A0"/>
    <w:rsid w:val="006B09C0"/>
    <w:rsid w:val="006B11FA"/>
    <w:rsid w:val="006B2613"/>
    <w:rsid w:val="006B7449"/>
    <w:rsid w:val="006B7F9C"/>
    <w:rsid w:val="006C07C3"/>
    <w:rsid w:val="006C0B2E"/>
    <w:rsid w:val="006C3796"/>
    <w:rsid w:val="006C5099"/>
    <w:rsid w:val="006D0A82"/>
    <w:rsid w:val="006D0FE2"/>
    <w:rsid w:val="006D163E"/>
    <w:rsid w:val="006D19DF"/>
    <w:rsid w:val="006D3903"/>
    <w:rsid w:val="006D47D4"/>
    <w:rsid w:val="006D4ADF"/>
    <w:rsid w:val="006D61AF"/>
    <w:rsid w:val="006E131C"/>
    <w:rsid w:val="006E2546"/>
    <w:rsid w:val="006E6083"/>
    <w:rsid w:val="006E7A3D"/>
    <w:rsid w:val="006F3894"/>
    <w:rsid w:val="006F493C"/>
    <w:rsid w:val="006F5DD4"/>
    <w:rsid w:val="006F603A"/>
    <w:rsid w:val="006F6590"/>
    <w:rsid w:val="006F7744"/>
    <w:rsid w:val="0070004B"/>
    <w:rsid w:val="007045F9"/>
    <w:rsid w:val="00706109"/>
    <w:rsid w:val="007061C3"/>
    <w:rsid w:val="00706949"/>
    <w:rsid w:val="00707516"/>
    <w:rsid w:val="00711651"/>
    <w:rsid w:val="00715587"/>
    <w:rsid w:val="00717176"/>
    <w:rsid w:val="00717714"/>
    <w:rsid w:val="00722039"/>
    <w:rsid w:val="00724CA0"/>
    <w:rsid w:val="00731E0D"/>
    <w:rsid w:val="0073265D"/>
    <w:rsid w:val="00734EF5"/>
    <w:rsid w:val="0073591B"/>
    <w:rsid w:val="007371B7"/>
    <w:rsid w:val="00746DC1"/>
    <w:rsid w:val="0075243D"/>
    <w:rsid w:val="007533CD"/>
    <w:rsid w:val="00753408"/>
    <w:rsid w:val="007614F6"/>
    <w:rsid w:val="007649D9"/>
    <w:rsid w:val="00766200"/>
    <w:rsid w:val="007669EF"/>
    <w:rsid w:val="00770BCE"/>
    <w:rsid w:val="00772444"/>
    <w:rsid w:val="00776F3E"/>
    <w:rsid w:val="00776F9A"/>
    <w:rsid w:val="00781599"/>
    <w:rsid w:val="0078214B"/>
    <w:rsid w:val="0078373A"/>
    <w:rsid w:val="007867CD"/>
    <w:rsid w:val="0079172F"/>
    <w:rsid w:val="00791EC5"/>
    <w:rsid w:val="007923C4"/>
    <w:rsid w:val="007950CE"/>
    <w:rsid w:val="007952CB"/>
    <w:rsid w:val="00795D5F"/>
    <w:rsid w:val="007B007C"/>
    <w:rsid w:val="007B3BD5"/>
    <w:rsid w:val="007B5711"/>
    <w:rsid w:val="007C0B0C"/>
    <w:rsid w:val="007C20DA"/>
    <w:rsid w:val="007C51FA"/>
    <w:rsid w:val="007C59EC"/>
    <w:rsid w:val="007D05C5"/>
    <w:rsid w:val="007D13A1"/>
    <w:rsid w:val="007D1C9C"/>
    <w:rsid w:val="007D6334"/>
    <w:rsid w:val="007E24A5"/>
    <w:rsid w:val="007F0F82"/>
    <w:rsid w:val="007F10A3"/>
    <w:rsid w:val="007F4C1B"/>
    <w:rsid w:val="007F54E2"/>
    <w:rsid w:val="007F56F9"/>
    <w:rsid w:val="008039BD"/>
    <w:rsid w:val="008049BA"/>
    <w:rsid w:val="00805299"/>
    <w:rsid w:val="00805BC2"/>
    <w:rsid w:val="008071FB"/>
    <w:rsid w:val="008133E2"/>
    <w:rsid w:val="00813442"/>
    <w:rsid w:val="0081625C"/>
    <w:rsid w:val="008221B8"/>
    <w:rsid w:val="00825B95"/>
    <w:rsid w:val="00831A5A"/>
    <w:rsid w:val="00831AC7"/>
    <w:rsid w:val="00831D5D"/>
    <w:rsid w:val="00834F0D"/>
    <w:rsid w:val="008412DB"/>
    <w:rsid w:val="008564A7"/>
    <w:rsid w:val="008573A0"/>
    <w:rsid w:val="0086138D"/>
    <w:rsid w:val="00863BD3"/>
    <w:rsid w:val="008663CD"/>
    <w:rsid w:val="00873D7D"/>
    <w:rsid w:val="00874574"/>
    <w:rsid w:val="00874ECB"/>
    <w:rsid w:val="008804E2"/>
    <w:rsid w:val="008806EC"/>
    <w:rsid w:val="00882B27"/>
    <w:rsid w:val="00882BC3"/>
    <w:rsid w:val="00882E69"/>
    <w:rsid w:val="00883A22"/>
    <w:rsid w:val="00884A9A"/>
    <w:rsid w:val="00884D04"/>
    <w:rsid w:val="008850D0"/>
    <w:rsid w:val="00885165"/>
    <w:rsid w:val="00885535"/>
    <w:rsid w:val="008861A1"/>
    <w:rsid w:val="0089775C"/>
    <w:rsid w:val="008A0F61"/>
    <w:rsid w:val="008A18C2"/>
    <w:rsid w:val="008A3FAC"/>
    <w:rsid w:val="008A51FF"/>
    <w:rsid w:val="008B4F6B"/>
    <w:rsid w:val="008B52E9"/>
    <w:rsid w:val="008B6632"/>
    <w:rsid w:val="008B72A6"/>
    <w:rsid w:val="008C6B6B"/>
    <w:rsid w:val="008D1C9C"/>
    <w:rsid w:val="008D22EC"/>
    <w:rsid w:val="008D4255"/>
    <w:rsid w:val="008D5C4C"/>
    <w:rsid w:val="008E187A"/>
    <w:rsid w:val="008E2837"/>
    <w:rsid w:val="008E5392"/>
    <w:rsid w:val="008E6F78"/>
    <w:rsid w:val="008E7437"/>
    <w:rsid w:val="008F228F"/>
    <w:rsid w:val="008F4CDA"/>
    <w:rsid w:val="008F5721"/>
    <w:rsid w:val="008F6181"/>
    <w:rsid w:val="008F67CC"/>
    <w:rsid w:val="009021A8"/>
    <w:rsid w:val="00902BA1"/>
    <w:rsid w:val="0090347D"/>
    <w:rsid w:val="00906049"/>
    <w:rsid w:val="00910963"/>
    <w:rsid w:val="00911D35"/>
    <w:rsid w:val="009153D2"/>
    <w:rsid w:val="00916229"/>
    <w:rsid w:val="009172DF"/>
    <w:rsid w:val="009174BA"/>
    <w:rsid w:val="00917907"/>
    <w:rsid w:val="00917AA1"/>
    <w:rsid w:val="00927623"/>
    <w:rsid w:val="0093015F"/>
    <w:rsid w:val="009427F3"/>
    <w:rsid w:val="00945045"/>
    <w:rsid w:val="009453A3"/>
    <w:rsid w:val="00952DBB"/>
    <w:rsid w:val="0096097B"/>
    <w:rsid w:val="00961019"/>
    <w:rsid w:val="00961568"/>
    <w:rsid w:val="00962F02"/>
    <w:rsid w:val="00965DA8"/>
    <w:rsid w:val="0096602B"/>
    <w:rsid w:val="00966076"/>
    <w:rsid w:val="00971FE5"/>
    <w:rsid w:val="00975671"/>
    <w:rsid w:val="009810E7"/>
    <w:rsid w:val="0098714D"/>
    <w:rsid w:val="009905F4"/>
    <w:rsid w:val="0099381B"/>
    <w:rsid w:val="00993A8E"/>
    <w:rsid w:val="00993ED6"/>
    <w:rsid w:val="009A0516"/>
    <w:rsid w:val="009A1848"/>
    <w:rsid w:val="009A1EA4"/>
    <w:rsid w:val="009A2C69"/>
    <w:rsid w:val="009A4952"/>
    <w:rsid w:val="009B537F"/>
    <w:rsid w:val="009C1DE9"/>
    <w:rsid w:val="009C34A6"/>
    <w:rsid w:val="009C6714"/>
    <w:rsid w:val="009C6866"/>
    <w:rsid w:val="009C7795"/>
    <w:rsid w:val="009D1631"/>
    <w:rsid w:val="009D40E3"/>
    <w:rsid w:val="009E0BDA"/>
    <w:rsid w:val="009E1887"/>
    <w:rsid w:val="009E1EC4"/>
    <w:rsid w:val="009E2780"/>
    <w:rsid w:val="009E437C"/>
    <w:rsid w:val="009E48AD"/>
    <w:rsid w:val="009E67EE"/>
    <w:rsid w:val="009F0C43"/>
    <w:rsid w:val="009F0C48"/>
    <w:rsid w:val="009F5583"/>
    <w:rsid w:val="009F7093"/>
    <w:rsid w:val="00A0163C"/>
    <w:rsid w:val="00A0394D"/>
    <w:rsid w:val="00A112F0"/>
    <w:rsid w:val="00A11E1F"/>
    <w:rsid w:val="00A200E1"/>
    <w:rsid w:val="00A222D0"/>
    <w:rsid w:val="00A23A39"/>
    <w:rsid w:val="00A26048"/>
    <w:rsid w:val="00A3188B"/>
    <w:rsid w:val="00A32C13"/>
    <w:rsid w:val="00A33F48"/>
    <w:rsid w:val="00A341CB"/>
    <w:rsid w:val="00A36A34"/>
    <w:rsid w:val="00A4035B"/>
    <w:rsid w:val="00A45BA4"/>
    <w:rsid w:val="00A502F8"/>
    <w:rsid w:val="00A52AE0"/>
    <w:rsid w:val="00A53202"/>
    <w:rsid w:val="00A53B2C"/>
    <w:rsid w:val="00A607B8"/>
    <w:rsid w:val="00A620FA"/>
    <w:rsid w:val="00A659D1"/>
    <w:rsid w:val="00A70A42"/>
    <w:rsid w:val="00A71244"/>
    <w:rsid w:val="00A735E2"/>
    <w:rsid w:val="00A765AC"/>
    <w:rsid w:val="00A85C94"/>
    <w:rsid w:val="00A90398"/>
    <w:rsid w:val="00A92622"/>
    <w:rsid w:val="00A96B25"/>
    <w:rsid w:val="00A970CD"/>
    <w:rsid w:val="00AA1A13"/>
    <w:rsid w:val="00AA2072"/>
    <w:rsid w:val="00AA3F38"/>
    <w:rsid w:val="00AA5CF1"/>
    <w:rsid w:val="00AB2812"/>
    <w:rsid w:val="00AB3894"/>
    <w:rsid w:val="00AB64C5"/>
    <w:rsid w:val="00AB6513"/>
    <w:rsid w:val="00AB6D42"/>
    <w:rsid w:val="00AB6E67"/>
    <w:rsid w:val="00AC007F"/>
    <w:rsid w:val="00AC0F87"/>
    <w:rsid w:val="00AC14C8"/>
    <w:rsid w:val="00AC3084"/>
    <w:rsid w:val="00AC39F0"/>
    <w:rsid w:val="00AC5322"/>
    <w:rsid w:val="00AC7952"/>
    <w:rsid w:val="00AD4084"/>
    <w:rsid w:val="00AD4874"/>
    <w:rsid w:val="00AD5292"/>
    <w:rsid w:val="00AD6AA8"/>
    <w:rsid w:val="00AE4253"/>
    <w:rsid w:val="00AE5609"/>
    <w:rsid w:val="00AF252E"/>
    <w:rsid w:val="00AF2BBF"/>
    <w:rsid w:val="00AF41E9"/>
    <w:rsid w:val="00AF4EEA"/>
    <w:rsid w:val="00AF6398"/>
    <w:rsid w:val="00B009B5"/>
    <w:rsid w:val="00B0249E"/>
    <w:rsid w:val="00B0250D"/>
    <w:rsid w:val="00B03366"/>
    <w:rsid w:val="00B05EF4"/>
    <w:rsid w:val="00B06754"/>
    <w:rsid w:val="00B1465B"/>
    <w:rsid w:val="00B17E87"/>
    <w:rsid w:val="00B2641B"/>
    <w:rsid w:val="00B27288"/>
    <w:rsid w:val="00B30C4F"/>
    <w:rsid w:val="00B329F8"/>
    <w:rsid w:val="00B32C3C"/>
    <w:rsid w:val="00B32F16"/>
    <w:rsid w:val="00B33D47"/>
    <w:rsid w:val="00B35BE8"/>
    <w:rsid w:val="00B368E5"/>
    <w:rsid w:val="00B36B60"/>
    <w:rsid w:val="00B4028D"/>
    <w:rsid w:val="00B405D4"/>
    <w:rsid w:val="00B40D23"/>
    <w:rsid w:val="00B412AD"/>
    <w:rsid w:val="00B41979"/>
    <w:rsid w:val="00B51220"/>
    <w:rsid w:val="00B5126E"/>
    <w:rsid w:val="00B52EB4"/>
    <w:rsid w:val="00B52F7B"/>
    <w:rsid w:val="00B54921"/>
    <w:rsid w:val="00B54C70"/>
    <w:rsid w:val="00B6087D"/>
    <w:rsid w:val="00B61132"/>
    <w:rsid w:val="00B666BD"/>
    <w:rsid w:val="00B70307"/>
    <w:rsid w:val="00B706AA"/>
    <w:rsid w:val="00B754D4"/>
    <w:rsid w:val="00B7691D"/>
    <w:rsid w:val="00B76FB5"/>
    <w:rsid w:val="00B777B5"/>
    <w:rsid w:val="00B778E4"/>
    <w:rsid w:val="00B82BA6"/>
    <w:rsid w:val="00B84F07"/>
    <w:rsid w:val="00B9336C"/>
    <w:rsid w:val="00B96BD2"/>
    <w:rsid w:val="00B96D53"/>
    <w:rsid w:val="00BA033D"/>
    <w:rsid w:val="00BA2298"/>
    <w:rsid w:val="00BA6B17"/>
    <w:rsid w:val="00BA7C1D"/>
    <w:rsid w:val="00BB1511"/>
    <w:rsid w:val="00BB179E"/>
    <w:rsid w:val="00BB3D1D"/>
    <w:rsid w:val="00BB403E"/>
    <w:rsid w:val="00BB48AD"/>
    <w:rsid w:val="00BB7869"/>
    <w:rsid w:val="00BC0187"/>
    <w:rsid w:val="00BC0C17"/>
    <w:rsid w:val="00BC0DB4"/>
    <w:rsid w:val="00BC1785"/>
    <w:rsid w:val="00BC3B49"/>
    <w:rsid w:val="00BC722C"/>
    <w:rsid w:val="00BD010F"/>
    <w:rsid w:val="00BD15F3"/>
    <w:rsid w:val="00BD7110"/>
    <w:rsid w:val="00BE2632"/>
    <w:rsid w:val="00BF0698"/>
    <w:rsid w:val="00BF1172"/>
    <w:rsid w:val="00BF4654"/>
    <w:rsid w:val="00BF63AB"/>
    <w:rsid w:val="00BF78F2"/>
    <w:rsid w:val="00C0075C"/>
    <w:rsid w:val="00C06A50"/>
    <w:rsid w:val="00C10359"/>
    <w:rsid w:val="00C13D35"/>
    <w:rsid w:val="00C1408A"/>
    <w:rsid w:val="00C143B3"/>
    <w:rsid w:val="00C203DD"/>
    <w:rsid w:val="00C22824"/>
    <w:rsid w:val="00C2346A"/>
    <w:rsid w:val="00C23933"/>
    <w:rsid w:val="00C2442A"/>
    <w:rsid w:val="00C24EB3"/>
    <w:rsid w:val="00C33162"/>
    <w:rsid w:val="00C33EC2"/>
    <w:rsid w:val="00C34091"/>
    <w:rsid w:val="00C3420B"/>
    <w:rsid w:val="00C359CC"/>
    <w:rsid w:val="00C36E4C"/>
    <w:rsid w:val="00C40EDD"/>
    <w:rsid w:val="00C45CAE"/>
    <w:rsid w:val="00C46D6B"/>
    <w:rsid w:val="00C50BFE"/>
    <w:rsid w:val="00C51442"/>
    <w:rsid w:val="00C51C68"/>
    <w:rsid w:val="00C62714"/>
    <w:rsid w:val="00C6321D"/>
    <w:rsid w:val="00C63DB4"/>
    <w:rsid w:val="00C65E03"/>
    <w:rsid w:val="00C70902"/>
    <w:rsid w:val="00C751E6"/>
    <w:rsid w:val="00C76627"/>
    <w:rsid w:val="00C811B4"/>
    <w:rsid w:val="00C85510"/>
    <w:rsid w:val="00C91871"/>
    <w:rsid w:val="00C964B6"/>
    <w:rsid w:val="00C96A7E"/>
    <w:rsid w:val="00C96DA4"/>
    <w:rsid w:val="00CA4EED"/>
    <w:rsid w:val="00CA4EF4"/>
    <w:rsid w:val="00CA50C1"/>
    <w:rsid w:val="00CA54AF"/>
    <w:rsid w:val="00CA7954"/>
    <w:rsid w:val="00CA7997"/>
    <w:rsid w:val="00CB01AD"/>
    <w:rsid w:val="00CB249B"/>
    <w:rsid w:val="00CB6353"/>
    <w:rsid w:val="00CB6B5A"/>
    <w:rsid w:val="00CB7C6B"/>
    <w:rsid w:val="00CC0FCA"/>
    <w:rsid w:val="00CC3B60"/>
    <w:rsid w:val="00CC5BFC"/>
    <w:rsid w:val="00CC71CB"/>
    <w:rsid w:val="00CC7899"/>
    <w:rsid w:val="00CD438A"/>
    <w:rsid w:val="00CD44DD"/>
    <w:rsid w:val="00CD5DD4"/>
    <w:rsid w:val="00CE0264"/>
    <w:rsid w:val="00CE17D3"/>
    <w:rsid w:val="00CE2F55"/>
    <w:rsid w:val="00CF19D2"/>
    <w:rsid w:val="00CF20A7"/>
    <w:rsid w:val="00CF4BA1"/>
    <w:rsid w:val="00CF536E"/>
    <w:rsid w:val="00CF7305"/>
    <w:rsid w:val="00D008D8"/>
    <w:rsid w:val="00D038F8"/>
    <w:rsid w:val="00D0397E"/>
    <w:rsid w:val="00D05A34"/>
    <w:rsid w:val="00D05BE9"/>
    <w:rsid w:val="00D0774B"/>
    <w:rsid w:val="00D15652"/>
    <w:rsid w:val="00D23099"/>
    <w:rsid w:val="00D2492F"/>
    <w:rsid w:val="00D30A05"/>
    <w:rsid w:val="00D31010"/>
    <w:rsid w:val="00D329EB"/>
    <w:rsid w:val="00D4167E"/>
    <w:rsid w:val="00D42461"/>
    <w:rsid w:val="00D47B8D"/>
    <w:rsid w:val="00D53196"/>
    <w:rsid w:val="00D53DAF"/>
    <w:rsid w:val="00D556E9"/>
    <w:rsid w:val="00D5597F"/>
    <w:rsid w:val="00D569E3"/>
    <w:rsid w:val="00D57549"/>
    <w:rsid w:val="00D6288E"/>
    <w:rsid w:val="00D631EA"/>
    <w:rsid w:val="00D63729"/>
    <w:rsid w:val="00D65A53"/>
    <w:rsid w:val="00D66259"/>
    <w:rsid w:val="00D71841"/>
    <w:rsid w:val="00D724E0"/>
    <w:rsid w:val="00D770AD"/>
    <w:rsid w:val="00D773A8"/>
    <w:rsid w:val="00D83A80"/>
    <w:rsid w:val="00D85AF8"/>
    <w:rsid w:val="00D90407"/>
    <w:rsid w:val="00D94321"/>
    <w:rsid w:val="00D95BE9"/>
    <w:rsid w:val="00DA1099"/>
    <w:rsid w:val="00DA1DB3"/>
    <w:rsid w:val="00DA3DDC"/>
    <w:rsid w:val="00DA3FC6"/>
    <w:rsid w:val="00DA4522"/>
    <w:rsid w:val="00DA6BBF"/>
    <w:rsid w:val="00DB2998"/>
    <w:rsid w:val="00DB4087"/>
    <w:rsid w:val="00DB6D25"/>
    <w:rsid w:val="00DC2FB8"/>
    <w:rsid w:val="00DC5E3A"/>
    <w:rsid w:val="00DC632D"/>
    <w:rsid w:val="00DC7244"/>
    <w:rsid w:val="00DC7670"/>
    <w:rsid w:val="00DD1341"/>
    <w:rsid w:val="00DD1B28"/>
    <w:rsid w:val="00DD2C5A"/>
    <w:rsid w:val="00DD3CA9"/>
    <w:rsid w:val="00DE1DD5"/>
    <w:rsid w:val="00DF0D6E"/>
    <w:rsid w:val="00DF1810"/>
    <w:rsid w:val="00DF292E"/>
    <w:rsid w:val="00DF3228"/>
    <w:rsid w:val="00DF451A"/>
    <w:rsid w:val="00DF4A84"/>
    <w:rsid w:val="00DF550E"/>
    <w:rsid w:val="00DF65EC"/>
    <w:rsid w:val="00DF681C"/>
    <w:rsid w:val="00DF7455"/>
    <w:rsid w:val="00E015BA"/>
    <w:rsid w:val="00E06199"/>
    <w:rsid w:val="00E0657D"/>
    <w:rsid w:val="00E10705"/>
    <w:rsid w:val="00E10B7E"/>
    <w:rsid w:val="00E11A23"/>
    <w:rsid w:val="00E11E47"/>
    <w:rsid w:val="00E11EA8"/>
    <w:rsid w:val="00E14C28"/>
    <w:rsid w:val="00E20F7F"/>
    <w:rsid w:val="00E23E73"/>
    <w:rsid w:val="00E24E03"/>
    <w:rsid w:val="00E27DC5"/>
    <w:rsid w:val="00E31C63"/>
    <w:rsid w:val="00E3241D"/>
    <w:rsid w:val="00E36F23"/>
    <w:rsid w:val="00E40449"/>
    <w:rsid w:val="00E41226"/>
    <w:rsid w:val="00E4196C"/>
    <w:rsid w:val="00E46976"/>
    <w:rsid w:val="00E46BC9"/>
    <w:rsid w:val="00E47EBF"/>
    <w:rsid w:val="00E52F5C"/>
    <w:rsid w:val="00E56D6E"/>
    <w:rsid w:val="00E61948"/>
    <w:rsid w:val="00E639FA"/>
    <w:rsid w:val="00E64CC9"/>
    <w:rsid w:val="00E71A13"/>
    <w:rsid w:val="00E73384"/>
    <w:rsid w:val="00E80ED2"/>
    <w:rsid w:val="00E81B44"/>
    <w:rsid w:val="00E8261E"/>
    <w:rsid w:val="00E82BE9"/>
    <w:rsid w:val="00E83042"/>
    <w:rsid w:val="00E853C1"/>
    <w:rsid w:val="00E85AA9"/>
    <w:rsid w:val="00E86E3A"/>
    <w:rsid w:val="00E91380"/>
    <w:rsid w:val="00E9390C"/>
    <w:rsid w:val="00E97197"/>
    <w:rsid w:val="00E97A26"/>
    <w:rsid w:val="00E97DD0"/>
    <w:rsid w:val="00EA44B1"/>
    <w:rsid w:val="00EC0420"/>
    <w:rsid w:val="00EC3543"/>
    <w:rsid w:val="00EC6240"/>
    <w:rsid w:val="00ED0B41"/>
    <w:rsid w:val="00ED6F6B"/>
    <w:rsid w:val="00ED78A8"/>
    <w:rsid w:val="00EE3FE4"/>
    <w:rsid w:val="00F002F2"/>
    <w:rsid w:val="00F043D9"/>
    <w:rsid w:val="00F0558F"/>
    <w:rsid w:val="00F127A1"/>
    <w:rsid w:val="00F15C02"/>
    <w:rsid w:val="00F16D79"/>
    <w:rsid w:val="00F2068E"/>
    <w:rsid w:val="00F24750"/>
    <w:rsid w:val="00F265C8"/>
    <w:rsid w:val="00F301A1"/>
    <w:rsid w:val="00F30409"/>
    <w:rsid w:val="00F30EE4"/>
    <w:rsid w:val="00F31DB1"/>
    <w:rsid w:val="00F348E6"/>
    <w:rsid w:val="00F367EA"/>
    <w:rsid w:val="00F37074"/>
    <w:rsid w:val="00F42145"/>
    <w:rsid w:val="00F4533E"/>
    <w:rsid w:val="00F45AEE"/>
    <w:rsid w:val="00F51C49"/>
    <w:rsid w:val="00F569C7"/>
    <w:rsid w:val="00F56B1A"/>
    <w:rsid w:val="00F56B64"/>
    <w:rsid w:val="00F6151F"/>
    <w:rsid w:val="00F628BA"/>
    <w:rsid w:val="00F67484"/>
    <w:rsid w:val="00F67B1B"/>
    <w:rsid w:val="00F708F4"/>
    <w:rsid w:val="00F73560"/>
    <w:rsid w:val="00F74164"/>
    <w:rsid w:val="00F750A8"/>
    <w:rsid w:val="00F8097F"/>
    <w:rsid w:val="00F80BF3"/>
    <w:rsid w:val="00F852AC"/>
    <w:rsid w:val="00F87770"/>
    <w:rsid w:val="00F91161"/>
    <w:rsid w:val="00F93CE6"/>
    <w:rsid w:val="00F9644F"/>
    <w:rsid w:val="00F96EA5"/>
    <w:rsid w:val="00FA2DEF"/>
    <w:rsid w:val="00FA5B85"/>
    <w:rsid w:val="00FA63B9"/>
    <w:rsid w:val="00FA78CD"/>
    <w:rsid w:val="00FB23DF"/>
    <w:rsid w:val="00FB77B6"/>
    <w:rsid w:val="00FB7CB6"/>
    <w:rsid w:val="00FC160E"/>
    <w:rsid w:val="00FC38D6"/>
    <w:rsid w:val="00FD2371"/>
    <w:rsid w:val="00FD4C97"/>
    <w:rsid w:val="00FD5441"/>
    <w:rsid w:val="00FD6182"/>
    <w:rsid w:val="00FE4108"/>
    <w:rsid w:val="00FE4D19"/>
    <w:rsid w:val="00FF1D50"/>
    <w:rsid w:val="00FF2CBB"/>
    <w:rsid w:val="00FF410E"/>
    <w:rsid w:val="00FF4792"/>
    <w:rsid w:val="00FF719C"/>
    <w:rsid w:val="00FF746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17EFD9"/>
  <w15:docId w15:val="{76011B60-1627-460A-ACD3-0DAAA5CF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DA"/>
    <w:rPr>
      <w:sz w:val="22"/>
      <w:szCs w:val="24"/>
      <w:lang w:val="en-GB"/>
    </w:rPr>
  </w:style>
  <w:style w:type="paragraph" w:styleId="Titre1">
    <w:name w:val="heading 1"/>
    <w:basedOn w:val="Normal"/>
    <w:next w:val="Normal"/>
    <w:link w:val="Titre1Car"/>
    <w:uiPriority w:val="99"/>
    <w:qFormat/>
    <w:rsid w:val="00316A02"/>
    <w:pPr>
      <w:keepNext/>
      <w:spacing w:line="300" w:lineRule="atLeast"/>
      <w:jc w:val="center"/>
      <w:outlineLvl w:val="0"/>
    </w:pPr>
    <w:rPr>
      <w:rFonts w:ascii="CG Times (PCL6)" w:hAnsi="CG Times (PCL6)"/>
      <w:b/>
      <w:bCs/>
      <w:szCs w:val="22"/>
    </w:rPr>
  </w:style>
  <w:style w:type="paragraph" w:styleId="Titre3">
    <w:name w:val="heading 3"/>
    <w:basedOn w:val="Normal"/>
    <w:next w:val="Normal"/>
    <w:link w:val="Titre3Car"/>
    <w:uiPriority w:val="99"/>
    <w:qFormat/>
    <w:rsid w:val="00316A0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7314"/>
    <w:rPr>
      <w:rFonts w:ascii="Cambria" w:eastAsia="SimSun" w:hAnsi="Cambria" w:cs="Times New Roman"/>
      <w:b/>
      <w:bCs/>
      <w:kern w:val="32"/>
      <w:sz w:val="32"/>
      <w:szCs w:val="32"/>
      <w:lang w:val="en-GB" w:eastAsia="fr-FR"/>
    </w:rPr>
  </w:style>
  <w:style w:type="character" w:customStyle="1" w:styleId="Titre3Car">
    <w:name w:val="Titre 3 Car"/>
    <w:basedOn w:val="Policepardfaut"/>
    <w:link w:val="Titre3"/>
    <w:uiPriority w:val="9"/>
    <w:semiHidden/>
    <w:rsid w:val="00267314"/>
    <w:rPr>
      <w:rFonts w:ascii="Cambria" w:eastAsia="SimSun" w:hAnsi="Cambria" w:cs="Times New Roman"/>
      <w:b/>
      <w:bCs/>
      <w:sz w:val="26"/>
      <w:szCs w:val="26"/>
      <w:lang w:val="en-GB" w:eastAsia="fr-FR"/>
    </w:rPr>
  </w:style>
  <w:style w:type="character" w:styleId="Lienhypertexte">
    <w:name w:val="Hyperlink"/>
    <w:basedOn w:val="Policepardfaut"/>
    <w:uiPriority w:val="99"/>
    <w:rsid w:val="00316A02"/>
    <w:rPr>
      <w:rFonts w:cs="Times New Roman"/>
      <w:color w:val="0000FF"/>
      <w:u w:val="single"/>
    </w:rPr>
  </w:style>
  <w:style w:type="paragraph" w:styleId="En-tte">
    <w:name w:val="header"/>
    <w:basedOn w:val="Normal"/>
    <w:link w:val="En-tteCar"/>
    <w:uiPriority w:val="99"/>
    <w:rsid w:val="00316A02"/>
    <w:pPr>
      <w:tabs>
        <w:tab w:val="center" w:pos="4536"/>
        <w:tab w:val="right" w:pos="9072"/>
      </w:tabs>
    </w:pPr>
    <w:rPr>
      <w:sz w:val="20"/>
      <w:szCs w:val="20"/>
    </w:rPr>
  </w:style>
  <w:style w:type="character" w:customStyle="1" w:styleId="En-tteCar">
    <w:name w:val="En-tête Car"/>
    <w:basedOn w:val="Policepardfaut"/>
    <w:link w:val="En-tte"/>
    <w:uiPriority w:val="99"/>
    <w:rsid w:val="00267314"/>
    <w:rPr>
      <w:sz w:val="24"/>
      <w:szCs w:val="24"/>
      <w:lang w:val="en-GB" w:eastAsia="fr-FR"/>
    </w:rPr>
  </w:style>
  <w:style w:type="paragraph" w:styleId="Pieddepage">
    <w:name w:val="footer"/>
    <w:basedOn w:val="Normal"/>
    <w:link w:val="PieddepageCar"/>
    <w:uiPriority w:val="99"/>
    <w:rsid w:val="00316A02"/>
    <w:pPr>
      <w:tabs>
        <w:tab w:val="center" w:pos="4536"/>
        <w:tab w:val="right" w:pos="9072"/>
      </w:tabs>
    </w:pPr>
  </w:style>
  <w:style w:type="character" w:customStyle="1" w:styleId="PieddepageCar">
    <w:name w:val="Pied de page Car"/>
    <w:basedOn w:val="Policepardfaut"/>
    <w:link w:val="Pieddepage"/>
    <w:uiPriority w:val="99"/>
    <w:semiHidden/>
    <w:rsid w:val="00267314"/>
    <w:rPr>
      <w:sz w:val="24"/>
      <w:szCs w:val="24"/>
      <w:lang w:val="en-GB" w:eastAsia="fr-FR"/>
    </w:rPr>
  </w:style>
  <w:style w:type="character" w:styleId="Lienhypertextesuivivisit">
    <w:name w:val="FollowedHyperlink"/>
    <w:basedOn w:val="Policepardfaut"/>
    <w:uiPriority w:val="99"/>
    <w:rsid w:val="00316A02"/>
    <w:rPr>
      <w:rFonts w:cs="Times New Roman"/>
      <w:color w:val="800080"/>
      <w:u w:val="single"/>
    </w:rPr>
  </w:style>
  <w:style w:type="paragraph" w:styleId="Corpsdetexte">
    <w:name w:val="Body Text"/>
    <w:basedOn w:val="Normal"/>
    <w:link w:val="CorpsdetexteCar"/>
    <w:uiPriority w:val="99"/>
    <w:rsid w:val="00316A02"/>
    <w:pPr>
      <w:jc w:val="both"/>
    </w:pPr>
    <w:rPr>
      <w:rFonts w:ascii="Arial Narrow" w:hAnsi="Arial Narrow"/>
      <w:szCs w:val="22"/>
    </w:rPr>
  </w:style>
  <w:style w:type="character" w:customStyle="1" w:styleId="CorpsdetexteCar">
    <w:name w:val="Corps de texte Car"/>
    <w:basedOn w:val="Policepardfaut"/>
    <w:link w:val="Corpsdetexte"/>
    <w:uiPriority w:val="99"/>
    <w:semiHidden/>
    <w:rsid w:val="00267314"/>
    <w:rPr>
      <w:sz w:val="24"/>
      <w:szCs w:val="24"/>
      <w:lang w:val="en-GB" w:eastAsia="fr-FR"/>
    </w:rPr>
  </w:style>
  <w:style w:type="paragraph" w:styleId="Retraitcorpsdetexte">
    <w:name w:val="Body Text Indent"/>
    <w:basedOn w:val="Normal"/>
    <w:link w:val="RetraitcorpsdetexteCar"/>
    <w:uiPriority w:val="99"/>
    <w:rsid w:val="00316A02"/>
    <w:pPr>
      <w:spacing w:after="120"/>
      <w:ind w:left="283"/>
    </w:pPr>
  </w:style>
  <w:style w:type="character" w:customStyle="1" w:styleId="RetraitcorpsdetexteCar">
    <w:name w:val="Retrait corps de texte Car"/>
    <w:basedOn w:val="Policepardfaut"/>
    <w:link w:val="Retraitcorpsdetexte"/>
    <w:uiPriority w:val="99"/>
    <w:semiHidden/>
    <w:rsid w:val="00267314"/>
    <w:rPr>
      <w:sz w:val="24"/>
      <w:szCs w:val="24"/>
      <w:lang w:val="en-GB" w:eastAsia="fr-FR"/>
    </w:rPr>
  </w:style>
  <w:style w:type="paragraph" w:styleId="Corpsdetexte3">
    <w:name w:val="Body Text 3"/>
    <w:basedOn w:val="Normal"/>
    <w:link w:val="Corpsdetexte3Car"/>
    <w:uiPriority w:val="99"/>
    <w:rsid w:val="00316A02"/>
    <w:pPr>
      <w:spacing w:after="120"/>
    </w:pPr>
    <w:rPr>
      <w:sz w:val="16"/>
      <w:szCs w:val="16"/>
    </w:rPr>
  </w:style>
  <w:style w:type="character" w:customStyle="1" w:styleId="Corpsdetexte3Car">
    <w:name w:val="Corps de texte 3 Car"/>
    <w:basedOn w:val="Policepardfaut"/>
    <w:link w:val="Corpsdetexte3"/>
    <w:uiPriority w:val="99"/>
    <w:semiHidden/>
    <w:rsid w:val="00267314"/>
    <w:rPr>
      <w:sz w:val="16"/>
      <w:szCs w:val="16"/>
      <w:lang w:val="en-GB" w:eastAsia="fr-FR"/>
    </w:rPr>
  </w:style>
  <w:style w:type="paragraph" w:customStyle="1" w:styleId="Bulleted">
    <w:name w:val="Bulleted"/>
    <w:basedOn w:val="Normal"/>
    <w:autoRedefine/>
    <w:uiPriority w:val="99"/>
    <w:rsid w:val="00316A02"/>
    <w:pPr>
      <w:numPr>
        <w:numId w:val="1"/>
      </w:numPr>
      <w:spacing w:after="60"/>
      <w:jc w:val="both"/>
    </w:pPr>
    <w:rPr>
      <w:rFonts w:ascii="LucidaT" w:hAnsi="LucidaT"/>
      <w:sz w:val="20"/>
      <w:szCs w:val="20"/>
      <w:lang w:val="fr-FR"/>
    </w:rPr>
  </w:style>
  <w:style w:type="paragraph" w:styleId="NormalWeb">
    <w:name w:val="Normal (Web)"/>
    <w:basedOn w:val="Normal"/>
    <w:uiPriority w:val="99"/>
    <w:rsid w:val="00316A02"/>
    <w:pPr>
      <w:spacing w:before="150" w:line="348" w:lineRule="auto"/>
    </w:pPr>
    <w:rPr>
      <w:lang w:val="fr-FR"/>
    </w:rPr>
  </w:style>
  <w:style w:type="paragraph" w:styleId="Notedebasdepage">
    <w:name w:val="footnote text"/>
    <w:basedOn w:val="Normal"/>
    <w:link w:val="NotedebasdepageCar"/>
    <w:uiPriority w:val="99"/>
    <w:rsid w:val="00D556E9"/>
    <w:rPr>
      <w:sz w:val="20"/>
      <w:szCs w:val="20"/>
    </w:rPr>
  </w:style>
  <w:style w:type="character" w:customStyle="1" w:styleId="NotedebasdepageCar">
    <w:name w:val="Note de bas de page Car"/>
    <w:basedOn w:val="Policepardfaut"/>
    <w:link w:val="Notedebasdepage"/>
    <w:uiPriority w:val="99"/>
    <w:rsid w:val="00267314"/>
    <w:rPr>
      <w:sz w:val="20"/>
      <w:szCs w:val="20"/>
      <w:lang w:val="en-GB" w:eastAsia="fr-FR"/>
    </w:rPr>
  </w:style>
  <w:style w:type="character" w:styleId="Appelnotedebasdep">
    <w:name w:val="footnote reference"/>
    <w:basedOn w:val="Policepardfaut"/>
    <w:uiPriority w:val="99"/>
    <w:rsid w:val="00D556E9"/>
    <w:rPr>
      <w:rFonts w:cs="Times New Roman"/>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styleId="Marquedecommentaire">
    <w:name w:val="annotation reference"/>
    <w:basedOn w:val="Policepardfaut"/>
    <w:uiPriority w:val="99"/>
    <w:rsid w:val="00E8261E"/>
    <w:rPr>
      <w:rFonts w:cs="Times New Roman"/>
      <w:sz w:val="16"/>
      <w:szCs w:val="16"/>
    </w:rPr>
  </w:style>
  <w:style w:type="paragraph" w:styleId="Commentaire">
    <w:name w:val="annotation text"/>
    <w:basedOn w:val="Normal"/>
    <w:link w:val="CommentaireCar"/>
    <w:uiPriority w:val="99"/>
    <w:rsid w:val="00E8261E"/>
    <w:rPr>
      <w:sz w:val="20"/>
      <w:szCs w:val="20"/>
    </w:rPr>
  </w:style>
  <w:style w:type="character" w:customStyle="1" w:styleId="CommentaireCar">
    <w:name w:val="Commentaire Car"/>
    <w:basedOn w:val="Policepardfaut"/>
    <w:link w:val="Commentaire"/>
    <w:uiPriority w:val="99"/>
    <w:locked/>
    <w:rsid w:val="00E8261E"/>
    <w:rPr>
      <w:rFonts w:cs="Times New Roman"/>
      <w:lang w:val="en-GB" w:eastAsia="fr-FR"/>
    </w:rPr>
  </w:style>
  <w:style w:type="paragraph" w:styleId="Objetducommentaire">
    <w:name w:val="annotation subject"/>
    <w:basedOn w:val="Commentaire"/>
    <w:next w:val="Commentaire"/>
    <w:link w:val="ObjetducommentaireCar"/>
    <w:uiPriority w:val="99"/>
    <w:rsid w:val="00E8261E"/>
    <w:rPr>
      <w:b/>
      <w:bCs/>
    </w:rPr>
  </w:style>
  <w:style w:type="character" w:customStyle="1" w:styleId="ObjetducommentaireCar">
    <w:name w:val="Objet du commentaire Car"/>
    <w:basedOn w:val="CommentaireCar"/>
    <w:link w:val="Objetducommentaire"/>
    <w:uiPriority w:val="99"/>
    <w:locked/>
    <w:rsid w:val="00E8261E"/>
    <w:rPr>
      <w:rFonts w:cs="Times New Roman"/>
      <w:b/>
      <w:bCs/>
      <w:lang w:val="en-GB" w:eastAsia="fr-FR"/>
    </w:rPr>
  </w:style>
  <w:style w:type="paragraph" w:styleId="Textedebulles">
    <w:name w:val="Balloon Text"/>
    <w:basedOn w:val="Normal"/>
    <w:link w:val="TextedebullesCar"/>
    <w:uiPriority w:val="99"/>
    <w:rsid w:val="00E8261E"/>
    <w:rPr>
      <w:rFonts w:ascii="Tahoma" w:hAnsi="Tahoma" w:cs="Tahoma"/>
      <w:sz w:val="16"/>
      <w:szCs w:val="16"/>
    </w:rPr>
  </w:style>
  <w:style w:type="character" w:customStyle="1" w:styleId="TextedebullesCar">
    <w:name w:val="Texte de bulles Car"/>
    <w:basedOn w:val="Policepardfaut"/>
    <w:link w:val="Textedebulles"/>
    <w:uiPriority w:val="99"/>
    <w:locked/>
    <w:rsid w:val="00E8261E"/>
    <w:rPr>
      <w:rFonts w:ascii="Tahoma" w:hAnsi="Tahoma" w:cs="Tahoma"/>
      <w:sz w:val="16"/>
      <w:szCs w:val="16"/>
      <w:lang w:val="en-GB" w:eastAsia="fr-FR"/>
    </w:rPr>
  </w:style>
  <w:style w:type="table" w:styleId="Grilledutableau">
    <w:name w:val="Table Grid"/>
    <w:basedOn w:val="TableauNormal"/>
    <w:uiPriority w:val="99"/>
    <w:rsid w:val="002417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
    <w:name w:val="Pa1"/>
    <w:basedOn w:val="Default"/>
    <w:next w:val="Default"/>
    <w:uiPriority w:val="99"/>
    <w:rsid w:val="00A96B25"/>
    <w:pPr>
      <w:spacing w:line="241" w:lineRule="atLeast"/>
    </w:pPr>
    <w:rPr>
      <w:rFonts w:ascii="RotisSemiSans" w:hAnsi="RotisSemiSans"/>
      <w:color w:val="auto"/>
    </w:rPr>
  </w:style>
  <w:style w:type="character" w:customStyle="1" w:styleId="A5">
    <w:name w:val="A5"/>
    <w:uiPriority w:val="99"/>
    <w:rsid w:val="00A96B25"/>
    <w:rPr>
      <w:rFonts w:cs="RotisSemiSans"/>
      <w:color w:val="221E1F"/>
      <w:sz w:val="23"/>
      <w:szCs w:val="23"/>
    </w:rPr>
  </w:style>
  <w:style w:type="paragraph" w:customStyle="1" w:styleId="Pa3">
    <w:name w:val="Pa3"/>
    <w:basedOn w:val="Default"/>
    <w:next w:val="Default"/>
    <w:uiPriority w:val="99"/>
    <w:rsid w:val="00965DA8"/>
    <w:pPr>
      <w:spacing w:line="241" w:lineRule="atLeast"/>
    </w:pPr>
    <w:rPr>
      <w:rFonts w:ascii="RotisSemiSans" w:hAnsi="RotisSemiSans"/>
      <w:color w:val="auto"/>
    </w:rPr>
  </w:style>
  <w:style w:type="paragraph" w:styleId="Paragraphedeliste">
    <w:name w:val="List Paragraph"/>
    <w:basedOn w:val="Normal"/>
    <w:link w:val="ParagraphedelisteCar"/>
    <w:uiPriority w:val="34"/>
    <w:qFormat/>
    <w:rsid w:val="00DA4522"/>
    <w:pPr>
      <w:ind w:left="720"/>
      <w:contextualSpacing/>
    </w:pPr>
  </w:style>
  <w:style w:type="paragraph" w:customStyle="1" w:styleId="Body">
    <w:name w:val="Body"/>
    <w:rsid w:val="0028012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character" w:customStyle="1" w:styleId="ParagraphedelisteCar">
    <w:name w:val="Paragraphe de liste Car"/>
    <w:basedOn w:val="Policepardfaut"/>
    <w:link w:val="Paragraphedeliste"/>
    <w:uiPriority w:val="34"/>
    <w:locked/>
    <w:rsid w:val="00BD15F3"/>
    <w:rPr>
      <w:sz w:val="24"/>
      <w:szCs w:val="24"/>
      <w:lang w:val="en-GB"/>
    </w:rPr>
  </w:style>
  <w:style w:type="character" w:styleId="lev">
    <w:name w:val="Strong"/>
    <w:basedOn w:val="Policepardfaut"/>
    <w:uiPriority w:val="22"/>
    <w:qFormat/>
    <w:locked/>
    <w:rsid w:val="00B41979"/>
    <w:rPr>
      <w:b/>
      <w:bCs/>
    </w:rPr>
  </w:style>
  <w:style w:type="paragraph" w:styleId="PrformatHTML">
    <w:name w:val="HTML Preformatted"/>
    <w:basedOn w:val="Normal"/>
    <w:link w:val="PrformatHTMLCar"/>
    <w:uiPriority w:val="99"/>
    <w:semiHidden/>
    <w:unhideWhenUsed/>
    <w:rsid w:val="00B4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semiHidden/>
    <w:rsid w:val="00B41979"/>
    <w:rPr>
      <w:rFonts w:ascii="Courier New" w:hAnsi="Courier New" w:cs="Courier New"/>
    </w:rPr>
  </w:style>
  <w:style w:type="character" w:customStyle="1" w:styleId="Mentionnonrsolue1">
    <w:name w:val="Mention non résolue1"/>
    <w:basedOn w:val="Policepardfaut"/>
    <w:uiPriority w:val="99"/>
    <w:semiHidden/>
    <w:unhideWhenUsed/>
    <w:rsid w:val="004A6E31"/>
    <w:rPr>
      <w:color w:val="605E5C"/>
      <w:shd w:val="clear" w:color="auto" w:fill="E1DFDD"/>
    </w:rPr>
  </w:style>
  <w:style w:type="character" w:customStyle="1" w:styleId="UnresolvedMention">
    <w:name w:val="Unresolved Mention"/>
    <w:basedOn w:val="Policepardfaut"/>
    <w:uiPriority w:val="99"/>
    <w:semiHidden/>
    <w:unhideWhenUsed/>
    <w:rsid w:val="000E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5289">
      <w:bodyDiv w:val="1"/>
      <w:marLeft w:val="0"/>
      <w:marRight w:val="0"/>
      <w:marTop w:val="0"/>
      <w:marBottom w:val="0"/>
      <w:divBdr>
        <w:top w:val="none" w:sz="0" w:space="0" w:color="auto"/>
        <w:left w:val="none" w:sz="0" w:space="0" w:color="auto"/>
        <w:bottom w:val="none" w:sz="0" w:space="0" w:color="auto"/>
        <w:right w:val="none" w:sz="0" w:space="0" w:color="auto"/>
      </w:divBdr>
    </w:div>
    <w:div w:id="249774255">
      <w:bodyDiv w:val="1"/>
      <w:marLeft w:val="0"/>
      <w:marRight w:val="0"/>
      <w:marTop w:val="0"/>
      <w:marBottom w:val="0"/>
      <w:divBdr>
        <w:top w:val="none" w:sz="0" w:space="0" w:color="auto"/>
        <w:left w:val="none" w:sz="0" w:space="0" w:color="auto"/>
        <w:bottom w:val="none" w:sz="0" w:space="0" w:color="auto"/>
        <w:right w:val="none" w:sz="0" w:space="0" w:color="auto"/>
      </w:divBdr>
    </w:div>
    <w:div w:id="378015202">
      <w:bodyDiv w:val="1"/>
      <w:marLeft w:val="0"/>
      <w:marRight w:val="0"/>
      <w:marTop w:val="0"/>
      <w:marBottom w:val="0"/>
      <w:divBdr>
        <w:top w:val="none" w:sz="0" w:space="0" w:color="auto"/>
        <w:left w:val="none" w:sz="0" w:space="0" w:color="auto"/>
        <w:bottom w:val="none" w:sz="0" w:space="0" w:color="auto"/>
        <w:right w:val="none" w:sz="0" w:space="0" w:color="auto"/>
      </w:divBdr>
    </w:div>
    <w:div w:id="463238296">
      <w:bodyDiv w:val="1"/>
      <w:marLeft w:val="0"/>
      <w:marRight w:val="0"/>
      <w:marTop w:val="0"/>
      <w:marBottom w:val="0"/>
      <w:divBdr>
        <w:top w:val="none" w:sz="0" w:space="0" w:color="auto"/>
        <w:left w:val="none" w:sz="0" w:space="0" w:color="auto"/>
        <w:bottom w:val="none" w:sz="0" w:space="0" w:color="auto"/>
        <w:right w:val="none" w:sz="0" w:space="0" w:color="auto"/>
      </w:divBdr>
    </w:div>
    <w:div w:id="844513496">
      <w:bodyDiv w:val="1"/>
      <w:marLeft w:val="0"/>
      <w:marRight w:val="0"/>
      <w:marTop w:val="0"/>
      <w:marBottom w:val="0"/>
      <w:divBdr>
        <w:top w:val="none" w:sz="0" w:space="0" w:color="auto"/>
        <w:left w:val="none" w:sz="0" w:space="0" w:color="auto"/>
        <w:bottom w:val="none" w:sz="0" w:space="0" w:color="auto"/>
        <w:right w:val="none" w:sz="0" w:space="0" w:color="auto"/>
      </w:divBdr>
    </w:div>
    <w:div w:id="956989051">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1012612705">
      <w:bodyDiv w:val="1"/>
      <w:marLeft w:val="0"/>
      <w:marRight w:val="0"/>
      <w:marTop w:val="0"/>
      <w:marBottom w:val="0"/>
      <w:divBdr>
        <w:top w:val="none" w:sz="0" w:space="0" w:color="auto"/>
        <w:left w:val="none" w:sz="0" w:space="0" w:color="auto"/>
        <w:bottom w:val="none" w:sz="0" w:space="0" w:color="auto"/>
        <w:right w:val="none" w:sz="0" w:space="0" w:color="auto"/>
      </w:divBdr>
    </w:div>
    <w:div w:id="1196041588">
      <w:marLeft w:val="0"/>
      <w:marRight w:val="0"/>
      <w:marTop w:val="0"/>
      <w:marBottom w:val="0"/>
      <w:divBdr>
        <w:top w:val="none" w:sz="0" w:space="0" w:color="auto"/>
        <w:left w:val="none" w:sz="0" w:space="0" w:color="auto"/>
        <w:bottom w:val="none" w:sz="0" w:space="0" w:color="auto"/>
        <w:right w:val="none" w:sz="0" w:space="0" w:color="auto"/>
      </w:divBdr>
      <w:divsChild>
        <w:div w:id="1196041638">
          <w:marLeft w:val="0"/>
          <w:marRight w:val="0"/>
          <w:marTop w:val="0"/>
          <w:marBottom w:val="0"/>
          <w:divBdr>
            <w:top w:val="none" w:sz="0" w:space="0" w:color="auto"/>
            <w:left w:val="none" w:sz="0" w:space="0" w:color="auto"/>
            <w:bottom w:val="none" w:sz="0" w:space="0" w:color="auto"/>
            <w:right w:val="none" w:sz="0" w:space="0" w:color="auto"/>
          </w:divBdr>
        </w:div>
      </w:divsChild>
    </w:div>
    <w:div w:id="1196041589">
      <w:marLeft w:val="0"/>
      <w:marRight w:val="0"/>
      <w:marTop w:val="0"/>
      <w:marBottom w:val="0"/>
      <w:divBdr>
        <w:top w:val="none" w:sz="0" w:space="0" w:color="auto"/>
        <w:left w:val="none" w:sz="0" w:space="0" w:color="auto"/>
        <w:bottom w:val="none" w:sz="0" w:space="0" w:color="auto"/>
        <w:right w:val="none" w:sz="0" w:space="0" w:color="auto"/>
      </w:divBdr>
      <w:divsChild>
        <w:div w:id="1196041603">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1196041606">
              <w:marLeft w:val="0"/>
              <w:marRight w:val="0"/>
              <w:marTop w:val="0"/>
              <w:marBottom w:val="0"/>
              <w:divBdr>
                <w:top w:val="none" w:sz="0" w:space="0" w:color="auto"/>
                <w:left w:val="none" w:sz="0" w:space="0" w:color="auto"/>
                <w:bottom w:val="none" w:sz="0" w:space="0" w:color="auto"/>
                <w:right w:val="none" w:sz="0" w:space="0" w:color="auto"/>
              </w:divBdr>
            </w:div>
            <w:div w:id="1196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1">
      <w:marLeft w:val="0"/>
      <w:marRight w:val="0"/>
      <w:marTop w:val="0"/>
      <w:marBottom w:val="0"/>
      <w:divBdr>
        <w:top w:val="none" w:sz="0" w:space="0" w:color="auto"/>
        <w:left w:val="none" w:sz="0" w:space="0" w:color="auto"/>
        <w:bottom w:val="none" w:sz="0" w:space="0" w:color="auto"/>
        <w:right w:val="none" w:sz="0" w:space="0" w:color="auto"/>
      </w:divBdr>
      <w:divsChild>
        <w:div w:id="1196041640">
          <w:marLeft w:val="0"/>
          <w:marRight w:val="0"/>
          <w:marTop w:val="0"/>
          <w:marBottom w:val="0"/>
          <w:divBdr>
            <w:top w:val="none" w:sz="0" w:space="0" w:color="auto"/>
            <w:left w:val="none" w:sz="0" w:space="0" w:color="auto"/>
            <w:bottom w:val="none" w:sz="0" w:space="0" w:color="auto"/>
            <w:right w:val="none" w:sz="0" w:space="0" w:color="auto"/>
          </w:divBdr>
          <w:divsChild>
            <w:div w:id="11960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7">
      <w:marLeft w:val="0"/>
      <w:marRight w:val="0"/>
      <w:marTop w:val="0"/>
      <w:marBottom w:val="0"/>
      <w:divBdr>
        <w:top w:val="none" w:sz="0" w:space="0" w:color="auto"/>
        <w:left w:val="none" w:sz="0" w:space="0" w:color="auto"/>
        <w:bottom w:val="none" w:sz="0" w:space="0" w:color="auto"/>
        <w:right w:val="none" w:sz="0" w:space="0" w:color="auto"/>
      </w:divBdr>
      <w:divsChild>
        <w:div w:id="1196041604">
          <w:marLeft w:val="0"/>
          <w:marRight w:val="0"/>
          <w:marTop w:val="0"/>
          <w:marBottom w:val="0"/>
          <w:divBdr>
            <w:top w:val="none" w:sz="0" w:space="0" w:color="auto"/>
            <w:left w:val="none" w:sz="0" w:space="0" w:color="auto"/>
            <w:bottom w:val="none" w:sz="0" w:space="0" w:color="auto"/>
            <w:right w:val="none" w:sz="0" w:space="0" w:color="auto"/>
          </w:divBdr>
        </w:div>
      </w:divsChild>
    </w:div>
    <w:div w:id="1196041601">
      <w:marLeft w:val="0"/>
      <w:marRight w:val="0"/>
      <w:marTop w:val="0"/>
      <w:marBottom w:val="0"/>
      <w:divBdr>
        <w:top w:val="none" w:sz="0" w:space="0" w:color="auto"/>
        <w:left w:val="none" w:sz="0" w:space="0" w:color="auto"/>
        <w:bottom w:val="none" w:sz="0" w:space="0" w:color="auto"/>
        <w:right w:val="none" w:sz="0" w:space="0" w:color="auto"/>
      </w:divBdr>
      <w:divsChild>
        <w:div w:id="1196041637">
          <w:marLeft w:val="0"/>
          <w:marRight w:val="0"/>
          <w:marTop w:val="0"/>
          <w:marBottom w:val="0"/>
          <w:divBdr>
            <w:top w:val="none" w:sz="0" w:space="0" w:color="auto"/>
            <w:left w:val="none" w:sz="0" w:space="0" w:color="auto"/>
            <w:bottom w:val="none" w:sz="0" w:space="0" w:color="auto"/>
            <w:right w:val="none" w:sz="0" w:space="0" w:color="auto"/>
          </w:divBdr>
        </w:div>
      </w:divsChild>
    </w:div>
    <w:div w:id="1196041612">
      <w:marLeft w:val="0"/>
      <w:marRight w:val="0"/>
      <w:marTop w:val="0"/>
      <w:marBottom w:val="0"/>
      <w:divBdr>
        <w:top w:val="none" w:sz="0" w:space="0" w:color="auto"/>
        <w:left w:val="none" w:sz="0" w:space="0" w:color="auto"/>
        <w:bottom w:val="none" w:sz="0" w:space="0" w:color="auto"/>
        <w:right w:val="none" w:sz="0" w:space="0" w:color="auto"/>
      </w:divBdr>
      <w:divsChild>
        <w:div w:id="1196041617">
          <w:marLeft w:val="0"/>
          <w:marRight w:val="0"/>
          <w:marTop w:val="0"/>
          <w:marBottom w:val="0"/>
          <w:divBdr>
            <w:top w:val="none" w:sz="0" w:space="0" w:color="auto"/>
            <w:left w:val="none" w:sz="0" w:space="0" w:color="auto"/>
            <w:bottom w:val="none" w:sz="0" w:space="0" w:color="auto"/>
            <w:right w:val="none" w:sz="0" w:space="0" w:color="auto"/>
          </w:divBdr>
        </w:div>
      </w:divsChild>
    </w:div>
    <w:div w:id="1196041616">
      <w:marLeft w:val="0"/>
      <w:marRight w:val="0"/>
      <w:marTop w:val="0"/>
      <w:marBottom w:val="0"/>
      <w:divBdr>
        <w:top w:val="none" w:sz="0" w:space="0" w:color="auto"/>
        <w:left w:val="none" w:sz="0" w:space="0" w:color="auto"/>
        <w:bottom w:val="none" w:sz="0" w:space="0" w:color="auto"/>
        <w:right w:val="none" w:sz="0" w:space="0" w:color="auto"/>
      </w:divBdr>
      <w:divsChild>
        <w:div w:id="1196041625">
          <w:marLeft w:val="0"/>
          <w:marRight w:val="0"/>
          <w:marTop w:val="0"/>
          <w:marBottom w:val="0"/>
          <w:divBdr>
            <w:top w:val="none" w:sz="0" w:space="0" w:color="auto"/>
            <w:left w:val="none" w:sz="0" w:space="0" w:color="auto"/>
            <w:bottom w:val="none" w:sz="0" w:space="0" w:color="auto"/>
            <w:right w:val="none" w:sz="0" w:space="0" w:color="auto"/>
          </w:divBdr>
        </w:div>
      </w:divsChild>
    </w:div>
    <w:div w:id="1196041621">
      <w:marLeft w:val="0"/>
      <w:marRight w:val="0"/>
      <w:marTop w:val="0"/>
      <w:marBottom w:val="0"/>
      <w:divBdr>
        <w:top w:val="none" w:sz="0" w:space="0" w:color="auto"/>
        <w:left w:val="none" w:sz="0" w:space="0" w:color="auto"/>
        <w:bottom w:val="none" w:sz="0" w:space="0" w:color="auto"/>
        <w:right w:val="none" w:sz="0" w:space="0" w:color="auto"/>
      </w:divBdr>
      <w:divsChild>
        <w:div w:id="1196041660">
          <w:marLeft w:val="0"/>
          <w:marRight w:val="0"/>
          <w:marTop w:val="0"/>
          <w:marBottom w:val="0"/>
          <w:divBdr>
            <w:top w:val="none" w:sz="0" w:space="0" w:color="auto"/>
            <w:left w:val="none" w:sz="0" w:space="0" w:color="auto"/>
            <w:bottom w:val="none" w:sz="0" w:space="0" w:color="auto"/>
            <w:right w:val="none" w:sz="0" w:space="0" w:color="auto"/>
          </w:divBdr>
          <w:divsChild>
            <w:div w:id="1196041596">
              <w:marLeft w:val="0"/>
              <w:marRight w:val="0"/>
              <w:marTop w:val="0"/>
              <w:marBottom w:val="0"/>
              <w:divBdr>
                <w:top w:val="none" w:sz="0" w:space="0" w:color="auto"/>
                <w:left w:val="none" w:sz="0" w:space="0" w:color="auto"/>
                <w:bottom w:val="none" w:sz="0" w:space="0" w:color="auto"/>
                <w:right w:val="none" w:sz="0" w:space="0" w:color="auto"/>
              </w:divBdr>
            </w:div>
            <w:div w:id="1196041611">
              <w:marLeft w:val="0"/>
              <w:marRight w:val="0"/>
              <w:marTop w:val="0"/>
              <w:marBottom w:val="0"/>
              <w:divBdr>
                <w:top w:val="none" w:sz="0" w:space="0" w:color="auto"/>
                <w:left w:val="none" w:sz="0" w:space="0" w:color="auto"/>
                <w:bottom w:val="none" w:sz="0" w:space="0" w:color="auto"/>
                <w:right w:val="none" w:sz="0" w:space="0" w:color="auto"/>
              </w:divBdr>
            </w:div>
            <w:div w:id="1196041626">
              <w:marLeft w:val="0"/>
              <w:marRight w:val="0"/>
              <w:marTop w:val="0"/>
              <w:marBottom w:val="0"/>
              <w:divBdr>
                <w:top w:val="none" w:sz="0" w:space="0" w:color="auto"/>
                <w:left w:val="none" w:sz="0" w:space="0" w:color="auto"/>
                <w:bottom w:val="none" w:sz="0" w:space="0" w:color="auto"/>
                <w:right w:val="none" w:sz="0" w:space="0" w:color="auto"/>
              </w:divBdr>
            </w:div>
            <w:div w:id="1196041642">
              <w:marLeft w:val="0"/>
              <w:marRight w:val="0"/>
              <w:marTop w:val="0"/>
              <w:marBottom w:val="0"/>
              <w:divBdr>
                <w:top w:val="none" w:sz="0" w:space="0" w:color="auto"/>
                <w:left w:val="none" w:sz="0" w:space="0" w:color="auto"/>
                <w:bottom w:val="none" w:sz="0" w:space="0" w:color="auto"/>
                <w:right w:val="none" w:sz="0" w:space="0" w:color="auto"/>
              </w:divBdr>
            </w:div>
            <w:div w:id="1196041648">
              <w:marLeft w:val="0"/>
              <w:marRight w:val="0"/>
              <w:marTop w:val="0"/>
              <w:marBottom w:val="0"/>
              <w:divBdr>
                <w:top w:val="none" w:sz="0" w:space="0" w:color="auto"/>
                <w:left w:val="none" w:sz="0" w:space="0" w:color="auto"/>
                <w:bottom w:val="none" w:sz="0" w:space="0" w:color="auto"/>
                <w:right w:val="none" w:sz="0" w:space="0" w:color="auto"/>
              </w:divBdr>
            </w:div>
            <w:div w:id="11960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2">
      <w:marLeft w:val="0"/>
      <w:marRight w:val="0"/>
      <w:marTop w:val="0"/>
      <w:marBottom w:val="0"/>
      <w:divBdr>
        <w:top w:val="none" w:sz="0" w:space="0" w:color="auto"/>
        <w:left w:val="none" w:sz="0" w:space="0" w:color="auto"/>
        <w:bottom w:val="none" w:sz="0" w:space="0" w:color="auto"/>
        <w:right w:val="none" w:sz="0" w:space="0" w:color="auto"/>
      </w:divBdr>
      <w:divsChild>
        <w:div w:id="1196041664">
          <w:marLeft w:val="0"/>
          <w:marRight w:val="0"/>
          <w:marTop w:val="0"/>
          <w:marBottom w:val="0"/>
          <w:divBdr>
            <w:top w:val="none" w:sz="0" w:space="0" w:color="auto"/>
            <w:left w:val="none" w:sz="0" w:space="0" w:color="auto"/>
            <w:bottom w:val="none" w:sz="0" w:space="0" w:color="auto"/>
            <w:right w:val="none" w:sz="0" w:space="0" w:color="auto"/>
          </w:divBdr>
          <w:divsChild>
            <w:div w:id="1196041599">
              <w:marLeft w:val="0"/>
              <w:marRight w:val="0"/>
              <w:marTop w:val="0"/>
              <w:marBottom w:val="0"/>
              <w:divBdr>
                <w:top w:val="none" w:sz="0" w:space="0" w:color="auto"/>
                <w:left w:val="none" w:sz="0" w:space="0" w:color="auto"/>
                <w:bottom w:val="none" w:sz="0" w:space="0" w:color="auto"/>
                <w:right w:val="none" w:sz="0" w:space="0" w:color="auto"/>
              </w:divBdr>
            </w:div>
            <w:div w:id="1196041629">
              <w:marLeft w:val="0"/>
              <w:marRight w:val="0"/>
              <w:marTop w:val="0"/>
              <w:marBottom w:val="0"/>
              <w:divBdr>
                <w:top w:val="none" w:sz="0" w:space="0" w:color="auto"/>
                <w:left w:val="none" w:sz="0" w:space="0" w:color="auto"/>
                <w:bottom w:val="none" w:sz="0" w:space="0" w:color="auto"/>
                <w:right w:val="none" w:sz="0" w:space="0" w:color="auto"/>
              </w:divBdr>
            </w:div>
            <w:div w:id="1196041633">
              <w:marLeft w:val="0"/>
              <w:marRight w:val="0"/>
              <w:marTop w:val="0"/>
              <w:marBottom w:val="0"/>
              <w:divBdr>
                <w:top w:val="none" w:sz="0" w:space="0" w:color="auto"/>
                <w:left w:val="none" w:sz="0" w:space="0" w:color="auto"/>
                <w:bottom w:val="none" w:sz="0" w:space="0" w:color="auto"/>
                <w:right w:val="none" w:sz="0" w:space="0" w:color="auto"/>
              </w:divBdr>
            </w:div>
            <w:div w:id="1196041639">
              <w:marLeft w:val="0"/>
              <w:marRight w:val="0"/>
              <w:marTop w:val="0"/>
              <w:marBottom w:val="0"/>
              <w:divBdr>
                <w:top w:val="none" w:sz="0" w:space="0" w:color="auto"/>
                <w:left w:val="none" w:sz="0" w:space="0" w:color="auto"/>
                <w:bottom w:val="none" w:sz="0" w:space="0" w:color="auto"/>
                <w:right w:val="none" w:sz="0" w:space="0" w:color="auto"/>
              </w:divBdr>
            </w:div>
            <w:div w:id="1196041653">
              <w:marLeft w:val="0"/>
              <w:marRight w:val="0"/>
              <w:marTop w:val="0"/>
              <w:marBottom w:val="0"/>
              <w:divBdr>
                <w:top w:val="none" w:sz="0" w:space="0" w:color="auto"/>
                <w:left w:val="none" w:sz="0" w:space="0" w:color="auto"/>
                <w:bottom w:val="none" w:sz="0" w:space="0" w:color="auto"/>
                <w:right w:val="none" w:sz="0" w:space="0" w:color="auto"/>
              </w:divBdr>
            </w:div>
            <w:div w:id="1196041659">
              <w:marLeft w:val="0"/>
              <w:marRight w:val="0"/>
              <w:marTop w:val="0"/>
              <w:marBottom w:val="0"/>
              <w:divBdr>
                <w:top w:val="none" w:sz="0" w:space="0" w:color="auto"/>
                <w:left w:val="none" w:sz="0" w:space="0" w:color="auto"/>
                <w:bottom w:val="none" w:sz="0" w:space="0" w:color="auto"/>
                <w:right w:val="none" w:sz="0" w:space="0" w:color="auto"/>
              </w:divBdr>
            </w:div>
            <w:div w:id="11960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3">
      <w:marLeft w:val="0"/>
      <w:marRight w:val="0"/>
      <w:marTop w:val="0"/>
      <w:marBottom w:val="0"/>
      <w:divBdr>
        <w:top w:val="none" w:sz="0" w:space="0" w:color="auto"/>
        <w:left w:val="none" w:sz="0" w:space="0" w:color="auto"/>
        <w:bottom w:val="none" w:sz="0" w:space="0" w:color="auto"/>
        <w:right w:val="none" w:sz="0" w:space="0" w:color="auto"/>
      </w:divBdr>
      <w:divsChild>
        <w:div w:id="1196041635">
          <w:marLeft w:val="0"/>
          <w:marRight w:val="0"/>
          <w:marTop w:val="0"/>
          <w:marBottom w:val="0"/>
          <w:divBdr>
            <w:top w:val="none" w:sz="0" w:space="0" w:color="auto"/>
            <w:left w:val="none" w:sz="0" w:space="0" w:color="auto"/>
            <w:bottom w:val="none" w:sz="0" w:space="0" w:color="auto"/>
            <w:right w:val="none" w:sz="0" w:space="0" w:color="auto"/>
          </w:divBdr>
          <w:divsChild>
            <w:div w:id="1196041609">
              <w:marLeft w:val="0"/>
              <w:marRight w:val="0"/>
              <w:marTop w:val="0"/>
              <w:marBottom w:val="0"/>
              <w:divBdr>
                <w:top w:val="none" w:sz="0" w:space="0" w:color="auto"/>
                <w:left w:val="none" w:sz="0" w:space="0" w:color="auto"/>
                <w:bottom w:val="none" w:sz="0" w:space="0" w:color="auto"/>
                <w:right w:val="none" w:sz="0" w:space="0" w:color="auto"/>
              </w:divBdr>
            </w:div>
            <w:div w:id="1196041656">
              <w:marLeft w:val="0"/>
              <w:marRight w:val="0"/>
              <w:marTop w:val="0"/>
              <w:marBottom w:val="0"/>
              <w:divBdr>
                <w:top w:val="none" w:sz="0" w:space="0" w:color="auto"/>
                <w:left w:val="none" w:sz="0" w:space="0" w:color="auto"/>
                <w:bottom w:val="none" w:sz="0" w:space="0" w:color="auto"/>
                <w:right w:val="none" w:sz="0" w:space="0" w:color="auto"/>
              </w:divBdr>
            </w:div>
            <w:div w:id="11960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7">
      <w:marLeft w:val="0"/>
      <w:marRight w:val="0"/>
      <w:marTop w:val="0"/>
      <w:marBottom w:val="0"/>
      <w:divBdr>
        <w:top w:val="none" w:sz="0" w:space="0" w:color="auto"/>
        <w:left w:val="none" w:sz="0" w:space="0" w:color="auto"/>
        <w:bottom w:val="none" w:sz="0" w:space="0" w:color="auto"/>
        <w:right w:val="none" w:sz="0" w:space="0" w:color="auto"/>
      </w:divBdr>
      <w:divsChild>
        <w:div w:id="1196041600">
          <w:marLeft w:val="0"/>
          <w:marRight w:val="0"/>
          <w:marTop w:val="0"/>
          <w:marBottom w:val="0"/>
          <w:divBdr>
            <w:top w:val="none" w:sz="0" w:space="0" w:color="auto"/>
            <w:left w:val="none" w:sz="0" w:space="0" w:color="auto"/>
            <w:bottom w:val="none" w:sz="0" w:space="0" w:color="auto"/>
            <w:right w:val="none" w:sz="0" w:space="0" w:color="auto"/>
          </w:divBdr>
        </w:div>
      </w:divsChild>
    </w:div>
    <w:div w:id="1196041628">
      <w:marLeft w:val="0"/>
      <w:marRight w:val="0"/>
      <w:marTop w:val="0"/>
      <w:marBottom w:val="0"/>
      <w:divBdr>
        <w:top w:val="none" w:sz="0" w:space="0" w:color="auto"/>
        <w:left w:val="none" w:sz="0" w:space="0" w:color="auto"/>
        <w:bottom w:val="none" w:sz="0" w:space="0" w:color="auto"/>
        <w:right w:val="none" w:sz="0" w:space="0" w:color="auto"/>
      </w:divBdr>
      <w:divsChild>
        <w:div w:id="1196041584">
          <w:marLeft w:val="0"/>
          <w:marRight w:val="0"/>
          <w:marTop w:val="0"/>
          <w:marBottom w:val="0"/>
          <w:divBdr>
            <w:top w:val="none" w:sz="0" w:space="0" w:color="auto"/>
            <w:left w:val="none" w:sz="0" w:space="0" w:color="auto"/>
            <w:bottom w:val="none" w:sz="0" w:space="0" w:color="auto"/>
            <w:right w:val="none" w:sz="0" w:space="0" w:color="auto"/>
          </w:divBdr>
        </w:div>
      </w:divsChild>
    </w:div>
    <w:div w:id="1196041630">
      <w:marLeft w:val="0"/>
      <w:marRight w:val="0"/>
      <w:marTop w:val="0"/>
      <w:marBottom w:val="0"/>
      <w:divBdr>
        <w:top w:val="none" w:sz="0" w:space="0" w:color="auto"/>
        <w:left w:val="none" w:sz="0" w:space="0" w:color="auto"/>
        <w:bottom w:val="none" w:sz="0" w:space="0" w:color="auto"/>
        <w:right w:val="none" w:sz="0" w:space="0" w:color="auto"/>
      </w:divBdr>
      <w:divsChild>
        <w:div w:id="1196041610">
          <w:marLeft w:val="0"/>
          <w:marRight w:val="0"/>
          <w:marTop w:val="0"/>
          <w:marBottom w:val="0"/>
          <w:divBdr>
            <w:top w:val="none" w:sz="0" w:space="0" w:color="auto"/>
            <w:left w:val="none" w:sz="0" w:space="0" w:color="auto"/>
            <w:bottom w:val="none" w:sz="0" w:space="0" w:color="auto"/>
            <w:right w:val="none" w:sz="0" w:space="0" w:color="auto"/>
          </w:divBdr>
          <w:divsChild>
            <w:div w:id="1196041641">
              <w:marLeft w:val="0"/>
              <w:marRight w:val="0"/>
              <w:marTop w:val="0"/>
              <w:marBottom w:val="0"/>
              <w:divBdr>
                <w:top w:val="none" w:sz="0" w:space="0" w:color="auto"/>
                <w:left w:val="none" w:sz="0" w:space="0" w:color="auto"/>
                <w:bottom w:val="none" w:sz="0" w:space="0" w:color="auto"/>
                <w:right w:val="none" w:sz="0" w:space="0" w:color="auto"/>
              </w:divBdr>
            </w:div>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34">
      <w:marLeft w:val="0"/>
      <w:marRight w:val="0"/>
      <w:marTop w:val="0"/>
      <w:marBottom w:val="0"/>
      <w:divBdr>
        <w:top w:val="none" w:sz="0" w:space="0" w:color="auto"/>
        <w:left w:val="none" w:sz="0" w:space="0" w:color="auto"/>
        <w:bottom w:val="none" w:sz="0" w:space="0" w:color="auto"/>
        <w:right w:val="none" w:sz="0" w:space="0" w:color="auto"/>
      </w:divBdr>
      <w:divsChild>
        <w:div w:id="1196041646">
          <w:marLeft w:val="0"/>
          <w:marRight w:val="0"/>
          <w:marTop w:val="0"/>
          <w:marBottom w:val="0"/>
          <w:divBdr>
            <w:top w:val="none" w:sz="0" w:space="0" w:color="auto"/>
            <w:left w:val="none" w:sz="0" w:space="0" w:color="auto"/>
            <w:bottom w:val="none" w:sz="0" w:space="0" w:color="auto"/>
            <w:right w:val="none" w:sz="0" w:space="0" w:color="auto"/>
          </w:divBdr>
          <w:divsChild>
            <w:div w:id="1196041592">
              <w:marLeft w:val="0"/>
              <w:marRight w:val="0"/>
              <w:marTop w:val="0"/>
              <w:marBottom w:val="0"/>
              <w:divBdr>
                <w:top w:val="none" w:sz="0" w:space="0" w:color="auto"/>
                <w:left w:val="none" w:sz="0" w:space="0" w:color="auto"/>
                <w:bottom w:val="none" w:sz="0" w:space="0" w:color="auto"/>
                <w:right w:val="none" w:sz="0" w:space="0" w:color="auto"/>
              </w:divBdr>
            </w:div>
            <w:div w:id="11960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36">
      <w:marLeft w:val="0"/>
      <w:marRight w:val="0"/>
      <w:marTop w:val="0"/>
      <w:marBottom w:val="0"/>
      <w:divBdr>
        <w:top w:val="none" w:sz="0" w:space="0" w:color="auto"/>
        <w:left w:val="none" w:sz="0" w:space="0" w:color="auto"/>
        <w:bottom w:val="none" w:sz="0" w:space="0" w:color="auto"/>
        <w:right w:val="none" w:sz="0" w:space="0" w:color="auto"/>
      </w:divBdr>
      <w:divsChild>
        <w:div w:id="1196041667">
          <w:marLeft w:val="0"/>
          <w:marRight w:val="0"/>
          <w:marTop w:val="0"/>
          <w:marBottom w:val="0"/>
          <w:divBdr>
            <w:top w:val="none" w:sz="0" w:space="0" w:color="auto"/>
            <w:left w:val="none" w:sz="0" w:space="0" w:color="auto"/>
            <w:bottom w:val="none" w:sz="0" w:space="0" w:color="auto"/>
            <w:right w:val="none" w:sz="0" w:space="0" w:color="auto"/>
          </w:divBdr>
          <w:divsChild>
            <w:div w:id="1196041607">
              <w:marLeft w:val="0"/>
              <w:marRight w:val="0"/>
              <w:marTop w:val="0"/>
              <w:marBottom w:val="0"/>
              <w:divBdr>
                <w:top w:val="none" w:sz="0" w:space="0" w:color="auto"/>
                <w:left w:val="none" w:sz="0" w:space="0" w:color="auto"/>
                <w:bottom w:val="none" w:sz="0" w:space="0" w:color="auto"/>
                <w:right w:val="none" w:sz="0" w:space="0" w:color="auto"/>
              </w:divBdr>
            </w:div>
            <w:div w:id="1196041619">
              <w:marLeft w:val="0"/>
              <w:marRight w:val="0"/>
              <w:marTop w:val="0"/>
              <w:marBottom w:val="0"/>
              <w:divBdr>
                <w:top w:val="none" w:sz="0" w:space="0" w:color="auto"/>
                <w:left w:val="none" w:sz="0" w:space="0" w:color="auto"/>
                <w:bottom w:val="none" w:sz="0" w:space="0" w:color="auto"/>
                <w:right w:val="none" w:sz="0" w:space="0" w:color="auto"/>
              </w:divBdr>
            </w:div>
            <w:div w:id="11960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3">
      <w:marLeft w:val="0"/>
      <w:marRight w:val="0"/>
      <w:marTop w:val="0"/>
      <w:marBottom w:val="0"/>
      <w:divBdr>
        <w:top w:val="none" w:sz="0" w:space="0" w:color="auto"/>
        <w:left w:val="none" w:sz="0" w:space="0" w:color="auto"/>
        <w:bottom w:val="none" w:sz="0" w:space="0" w:color="auto"/>
        <w:right w:val="none" w:sz="0" w:space="0" w:color="auto"/>
      </w:divBdr>
      <w:divsChild>
        <w:div w:id="1196041645">
          <w:marLeft w:val="0"/>
          <w:marRight w:val="0"/>
          <w:marTop w:val="0"/>
          <w:marBottom w:val="0"/>
          <w:divBdr>
            <w:top w:val="none" w:sz="0" w:space="0" w:color="auto"/>
            <w:left w:val="none" w:sz="0" w:space="0" w:color="auto"/>
            <w:bottom w:val="none" w:sz="0" w:space="0" w:color="auto"/>
            <w:right w:val="none" w:sz="0" w:space="0" w:color="auto"/>
          </w:divBdr>
          <w:divsChild>
            <w:div w:id="1196041587">
              <w:marLeft w:val="0"/>
              <w:marRight w:val="0"/>
              <w:marTop w:val="0"/>
              <w:marBottom w:val="0"/>
              <w:divBdr>
                <w:top w:val="none" w:sz="0" w:space="0" w:color="auto"/>
                <w:left w:val="none" w:sz="0" w:space="0" w:color="auto"/>
                <w:bottom w:val="none" w:sz="0" w:space="0" w:color="auto"/>
                <w:right w:val="none" w:sz="0" w:space="0" w:color="auto"/>
              </w:divBdr>
            </w:div>
            <w:div w:id="11960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4">
      <w:marLeft w:val="0"/>
      <w:marRight w:val="0"/>
      <w:marTop w:val="0"/>
      <w:marBottom w:val="0"/>
      <w:divBdr>
        <w:top w:val="none" w:sz="0" w:space="0" w:color="auto"/>
        <w:left w:val="none" w:sz="0" w:space="0" w:color="auto"/>
        <w:bottom w:val="none" w:sz="0" w:space="0" w:color="auto"/>
        <w:right w:val="none" w:sz="0" w:space="0" w:color="auto"/>
      </w:divBdr>
      <w:divsChild>
        <w:div w:id="1196041595">
          <w:marLeft w:val="0"/>
          <w:marRight w:val="0"/>
          <w:marTop w:val="0"/>
          <w:marBottom w:val="0"/>
          <w:divBdr>
            <w:top w:val="none" w:sz="0" w:space="0" w:color="auto"/>
            <w:left w:val="none" w:sz="0" w:space="0" w:color="auto"/>
            <w:bottom w:val="none" w:sz="0" w:space="0" w:color="auto"/>
            <w:right w:val="none" w:sz="0" w:space="0" w:color="auto"/>
          </w:divBdr>
        </w:div>
      </w:divsChild>
    </w:div>
    <w:div w:id="1196041647">
      <w:marLeft w:val="0"/>
      <w:marRight w:val="0"/>
      <w:marTop w:val="0"/>
      <w:marBottom w:val="0"/>
      <w:divBdr>
        <w:top w:val="none" w:sz="0" w:space="0" w:color="auto"/>
        <w:left w:val="none" w:sz="0" w:space="0" w:color="auto"/>
        <w:bottom w:val="none" w:sz="0" w:space="0" w:color="auto"/>
        <w:right w:val="none" w:sz="0" w:space="0" w:color="auto"/>
      </w:divBdr>
      <w:divsChild>
        <w:div w:id="1196041631">
          <w:marLeft w:val="0"/>
          <w:marRight w:val="0"/>
          <w:marTop w:val="0"/>
          <w:marBottom w:val="0"/>
          <w:divBdr>
            <w:top w:val="none" w:sz="0" w:space="0" w:color="auto"/>
            <w:left w:val="none" w:sz="0" w:space="0" w:color="auto"/>
            <w:bottom w:val="none" w:sz="0" w:space="0" w:color="auto"/>
            <w:right w:val="none" w:sz="0" w:space="0" w:color="auto"/>
          </w:divBdr>
          <w:divsChild>
            <w:div w:id="1196041585">
              <w:marLeft w:val="0"/>
              <w:marRight w:val="0"/>
              <w:marTop w:val="0"/>
              <w:marBottom w:val="0"/>
              <w:divBdr>
                <w:top w:val="none" w:sz="0" w:space="0" w:color="auto"/>
                <w:left w:val="none" w:sz="0" w:space="0" w:color="auto"/>
                <w:bottom w:val="none" w:sz="0" w:space="0" w:color="auto"/>
                <w:right w:val="none" w:sz="0" w:space="0" w:color="auto"/>
              </w:divBdr>
            </w:div>
            <w:div w:id="1196041593">
              <w:marLeft w:val="0"/>
              <w:marRight w:val="0"/>
              <w:marTop w:val="0"/>
              <w:marBottom w:val="0"/>
              <w:divBdr>
                <w:top w:val="none" w:sz="0" w:space="0" w:color="auto"/>
                <w:left w:val="none" w:sz="0" w:space="0" w:color="auto"/>
                <w:bottom w:val="none" w:sz="0" w:space="0" w:color="auto"/>
                <w:right w:val="none" w:sz="0" w:space="0" w:color="auto"/>
              </w:divBdr>
            </w:div>
            <w:div w:id="1196041613">
              <w:marLeft w:val="0"/>
              <w:marRight w:val="0"/>
              <w:marTop w:val="0"/>
              <w:marBottom w:val="0"/>
              <w:divBdr>
                <w:top w:val="none" w:sz="0" w:space="0" w:color="auto"/>
                <w:left w:val="none" w:sz="0" w:space="0" w:color="auto"/>
                <w:bottom w:val="none" w:sz="0" w:space="0" w:color="auto"/>
                <w:right w:val="none" w:sz="0" w:space="0" w:color="auto"/>
              </w:divBdr>
            </w:div>
            <w:div w:id="1196041618">
              <w:marLeft w:val="0"/>
              <w:marRight w:val="0"/>
              <w:marTop w:val="0"/>
              <w:marBottom w:val="0"/>
              <w:divBdr>
                <w:top w:val="none" w:sz="0" w:space="0" w:color="auto"/>
                <w:left w:val="none" w:sz="0" w:space="0" w:color="auto"/>
                <w:bottom w:val="none" w:sz="0" w:space="0" w:color="auto"/>
                <w:right w:val="none" w:sz="0" w:space="0" w:color="auto"/>
              </w:divBdr>
            </w:div>
            <w:div w:id="11960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9">
      <w:marLeft w:val="0"/>
      <w:marRight w:val="0"/>
      <w:marTop w:val="0"/>
      <w:marBottom w:val="0"/>
      <w:divBdr>
        <w:top w:val="none" w:sz="0" w:space="0" w:color="auto"/>
        <w:left w:val="none" w:sz="0" w:space="0" w:color="auto"/>
        <w:bottom w:val="none" w:sz="0" w:space="0" w:color="auto"/>
        <w:right w:val="none" w:sz="0" w:space="0" w:color="auto"/>
      </w:divBdr>
      <w:divsChild>
        <w:div w:id="1196041620">
          <w:marLeft w:val="0"/>
          <w:marRight w:val="0"/>
          <w:marTop w:val="0"/>
          <w:marBottom w:val="0"/>
          <w:divBdr>
            <w:top w:val="none" w:sz="0" w:space="0" w:color="auto"/>
            <w:left w:val="none" w:sz="0" w:space="0" w:color="auto"/>
            <w:bottom w:val="none" w:sz="0" w:space="0" w:color="auto"/>
            <w:right w:val="none" w:sz="0" w:space="0" w:color="auto"/>
          </w:divBdr>
          <w:divsChild>
            <w:div w:id="1196041590">
              <w:marLeft w:val="0"/>
              <w:marRight w:val="0"/>
              <w:marTop w:val="0"/>
              <w:marBottom w:val="0"/>
              <w:divBdr>
                <w:top w:val="none" w:sz="0" w:space="0" w:color="auto"/>
                <w:left w:val="none" w:sz="0" w:space="0" w:color="auto"/>
                <w:bottom w:val="none" w:sz="0" w:space="0" w:color="auto"/>
                <w:right w:val="none" w:sz="0" w:space="0" w:color="auto"/>
              </w:divBdr>
            </w:div>
            <w:div w:id="1196041594">
              <w:marLeft w:val="0"/>
              <w:marRight w:val="0"/>
              <w:marTop w:val="0"/>
              <w:marBottom w:val="0"/>
              <w:divBdr>
                <w:top w:val="none" w:sz="0" w:space="0" w:color="auto"/>
                <w:left w:val="none" w:sz="0" w:space="0" w:color="auto"/>
                <w:bottom w:val="none" w:sz="0" w:space="0" w:color="auto"/>
                <w:right w:val="none" w:sz="0" w:space="0" w:color="auto"/>
              </w:divBdr>
            </w:div>
            <w:div w:id="1196041614">
              <w:marLeft w:val="0"/>
              <w:marRight w:val="0"/>
              <w:marTop w:val="0"/>
              <w:marBottom w:val="0"/>
              <w:divBdr>
                <w:top w:val="none" w:sz="0" w:space="0" w:color="auto"/>
                <w:left w:val="none" w:sz="0" w:space="0" w:color="auto"/>
                <w:bottom w:val="none" w:sz="0" w:space="0" w:color="auto"/>
                <w:right w:val="none" w:sz="0" w:space="0" w:color="auto"/>
              </w:divBdr>
            </w:div>
            <w:div w:id="1196041615">
              <w:marLeft w:val="0"/>
              <w:marRight w:val="0"/>
              <w:marTop w:val="0"/>
              <w:marBottom w:val="0"/>
              <w:divBdr>
                <w:top w:val="none" w:sz="0" w:space="0" w:color="auto"/>
                <w:left w:val="none" w:sz="0" w:space="0" w:color="auto"/>
                <w:bottom w:val="none" w:sz="0" w:space="0" w:color="auto"/>
                <w:right w:val="none" w:sz="0" w:space="0" w:color="auto"/>
              </w:divBdr>
            </w:div>
            <w:div w:id="1196041650">
              <w:marLeft w:val="0"/>
              <w:marRight w:val="0"/>
              <w:marTop w:val="0"/>
              <w:marBottom w:val="0"/>
              <w:divBdr>
                <w:top w:val="none" w:sz="0" w:space="0" w:color="auto"/>
                <w:left w:val="none" w:sz="0" w:space="0" w:color="auto"/>
                <w:bottom w:val="none" w:sz="0" w:space="0" w:color="auto"/>
                <w:right w:val="none" w:sz="0" w:space="0" w:color="auto"/>
              </w:divBdr>
            </w:div>
            <w:div w:id="11960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51">
      <w:marLeft w:val="0"/>
      <w:marRight w:val="0"/>
      <w:marTop w:val="0"/>
      <w:marBottom w:val="0"/>
      <w:divBdr>
        <w:top w:val="none" w:sz="0" w:space="0" w:color="auto"/>
        <w:left w:val="none" w:sz="0" w:space="0" w:color="auto"/>
        <w:bottom w:val="none" w:sz="0" w:space="0" w:color="auto"/>
        <w:right w:val="none" w:sz="0" w:space="0" w:color="auto"/>
      </w:divBdr>
      <w:divsChild>
        <w:div w:id="1196041605">
          <w:marLeft w:val="0"/>
          <w:marRight w:val="0"/>
          <w:marTop w:val="0"/>
          <w:marBottom w:val="0"/>
          <w:divBdr>
            <w:top w:val="none" w:sz="0" w:space="0" w:color="auto"/>
            <w:left w:val="none" w:sz="0" w:space="0" w:color="auto"/>
            <w:bottom w:val="none" w:sz="0" w:space="0" w:color="auto"/>
            <w:right w:val="none" w:sz="0" w:space="0" w:color="auto"/>
          </w:divBdr>
        </w:div>
      </w:divsChild>
    </w:div>
    <w:div w:id="1196041662">
      <w:marLeft w:val="0"/>
      <w:marRight w:val="0"/>
      <w:marTop w:val="0"/>
      <w:marBottom w:val="0"/>
      <w:divBdr>
        <w:top w:val="none" w:sz="0" w:space="0" w:color="auto"/>
        <w:left w:val="none" w:sz="0" w:space="0" w:color="auto"/>
        <w:bottom w:val="none" w:sz="0" w:space="0" w:color="auto"/>
        <w:right w:val="none" w:sz="0" w:space="0" w:color="auto"/>
      </w:divBdr>
      <w:divsChild>
        <w:div w:id="1196041632">
          <w:marLeft w:val="0"/>
          <w:marRight w:val="0"/>
          <w:marTop w:val="0"/>
          <w:marBottom w:val="0"/>
          <w:divBdr>
            <w:top w:val="none" w:sz="0" w:space="0" w:color="auto"/>
            <w:left w:val="none" w:sz="0" w:space="0" w:color="auto"/>
            <w:bottom w:val="none" w:sz="0" w:space="0" w:color="auto"/>
            <w:right w:val="none" w:sz="0" w:space="0" w:color="auto"/>
          </w:divBdr>
        </w:div>
      </w:divsChild>
    </w:div>
    <w:div w:id="1196041663">
      <w:marLeft w:val="0"/>
      <w:marRight w:val="0"/>
      <w:marTop w:val="0"/>
      <w:marBottom w:val="0"/>
      <w:divBdr>
        <w:top w:val="none" w:sz="0" w:space="0" w:color="auto"/>
        <w:left w:val="none" w:sz="0" w:space="0" w:color="auto"/>
        <w:bottom w:val="none" w:sz="0" w:space="0" w:color="auto"/>
        <w:right w:val="none" w:sz="0" w:space="0" w:color="auto"/>
      </w:divBdr>
      <w:divsChild>
        <w:div w:id="1196041598">
          <w:marLeft w:val="0"/>
          <w:marRight w:val="0"/>
          <w:marTop w:val="0"/>
          <w:marBottom w:val="0"/>
          <w:divBdr>
            <w:top w:val="none" w:sz="0" w:space="0" w:color="auto"/>
            <w:left w:val="none" w:sz="0" w:space="0" w:color="auto"/>
            <w:bottom w:val="none" w:sz="0" w:space="0" w:color="auto"/>
            <w:right w:val="none" w:sz="0" w:space="0" w:color="auto"/>
          </w:divBdr>
        </w:div>
      </w:divsChild>
    </w:div>
    <w:div w:id="1361009699">
      <w:bodyDiv w:val="1"/>
      <w:marLeft w:val="0"/>
      <w:marRight w:val="0"/>
      <w:marTop w:val="0"/>
      <w:marBottom w:val="0"/>
      <w:divBdr>
        <w:top w:val="none" w:sz="0" w:space="0" w:color="auto"/>
        <w:left w:val="none" w:sz="0" w:space="0" w:color="auto"/>
        <w:bottom w:val="none" w:sz="0" w:space="0" w:color="auto"/>
        <w:right w:val="none" w:sz="0" w:space="0" w:color="auto"/>
      </w:divBdr>
    </w:div>
    <w:div w:id="1425691823">
      <w:bodyDiv w:val="1"/>
      <w:marLeft w:val="0"/>
      <w:marRight w:val="0"/>
      <w:marTop w:val="0"/>
      <w:marBottom w:val="0"/>
      <w:divBdr>
        <w:top w:val="none" w:sz="0" w:space="0" w:color="auto"/>
        <w:left w:val="none" w:sz="0" w:space="0" w:color="auto"/>
        <w:bottom w:val="none" w:sz="0" w:space="0" w:color="auto"/>
        <w:right w:val="none" w:sz="0" w:space="0" w:color="auto"/>
      </w:divBdr>
    </w:div>
    <w:div w:id="1600333061">
      <w:bodyDiv w:val="1"/>
      <w:marLeft w:val="0"/>
      <w:marRight w:val="0"/>
      <w:marTop w:val="0"/>
      <w:marBottom w:val="0"/>
      <w:divBdr>
        <w:top w:val="none" w:sz="0" w:space="0" w:color="auto"/>
        <w:left w:val="none" w:sz="0" w:space="0" w:color="auto"/>
        <w:bottom w:val="none" w:sz="0" w:space="0" w:color="auto"/>
        <w:right w:val="none" w:sz="0" w:space="0" w:color="auto"/>
      </w:divBdr>
    </w:div>
    <w:div w:id="1638681642">
      <w:bodyDiv w:val="1"/>
      <w:marLeft w:val="0"/>
      <w:marRight w:val="0"/>
      <w:marTop w:val="0"/>
      <w:marBottom w:val="0"/>
      <w:divBdr>
        <w:top w:val="none" w:sz="0" w:space="0" w:color="auto"/>
        <w:left w:val="none" w:sz="0" w:space="0" w:color="auto"/>
        <w:bottom w:val="none" w:sz="0" w:space="0" w:color="auto"/>
        <w:right w:val="none" w:sz="0" w:space="0" w:color="auto"/>
      </w:divBdr>
    </w:div>
    <w:div w:id="1661539705">
      <w:bodyDiv w:val="1"/>
      <w:marLeft w:val="0"/>
      <w:marRight w:val="0"/>
      <w:marTop w:val="0"/>
      <w:marBottom w:val="0"/>
      <w:divBdr>
        <w:top w:val="none" w:sz="0" w:space="0" w:color="auto"/>
        <w:left w:val="none" w:sz="0" w:space="0" w:color="auto"/>
        <w:bottom w:val="none" w:sz="0" w:space="0" w:color="auto"/>
        <w:right w:val="none" w:sz="0" w:space="0" w:color="auto"/>
      </w:divBdr>
    </w:div>
    <w:div w:id="20706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arie.caradec@swisslife-am.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risk.edhec.edu" TargetMode="External"/><Relationship Id="rId2" Type="http://schemas.openxmlformats.org/officeDocument/2006/relationships/customXml" Target="../customXml/item2.xml"/><Relationship Id="rId16" Type="http://schemas.openxmlformats.org/officeDocument/2006/relationships/hyperlink" Target="https://risk.edhec.edu" TargetMode="External"/><Relationship Id="rId20" Type="http://schemas.openxmlformats.org/officeDocument/2006/relationships/hyperlink" Target="mailto:hlachouque@fargo.age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ud.gauchon@edhec-risk.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yhendrice@fargo.ag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869C6E3D17A149BF3177AF62D465D0" ma:contentTypeVersion="14" ma:contentTypeDescription="Create a new document." ma:contentTypeScope="" ma:versionID="9d3514be0dbbbdbf28c4e7525e3a0e1d">
  <xsd:schema xmlns:xsd="http://www.w3.org/2001/XMLSchema" xmlns:xs="http://www.w3.org/2001/XMLSchema" xmlns:p="http://schemas.microsoft.com/office/2006/metadata/properties" xmlns:ns3="7bcf2e7b-cf47-4e17-b632-5558487ec044" xmlns:ns4="d64fd392-e17e-4b03-81f6-28c23e0495ea" targetNamespace="http://schemas.microsoft.com/office/2006/metadata/properties" ma:root="true" ma:fieldsID="fd5498bc7b4cde6cf463af692f1bbc86" ns3:_="" ns4:_="">
    <xsd:import namespace="7bcf2e7b-cf47-4e17-b632-5558487ec044"/>
    <xsd:import namespace="d64fd392-e17e-4b03-81f6-28c23e0495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f2e7b-cf47-4e17-b632-5558487ec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fd392-e17e-4b03-81f6-28c23e0495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5765D-6A2C-46DB-A598-776A48A861DA}">
  <ds:schemaRefs>
    <ds:schemaRef ds:uri="http://schemas.microsoft.com/sharepoint/v3/contenttype/forms"/>
  </ds:schemaRefs>
</ds:datastoreItem>
</file>

<file path=customXml/itemProps2.xml><?xml version="1.0" encoding="utf-8"?>
<ds:datastoreItem xmlns:ds="http://schemas.openxmlformats.org/officeDocument/2006/customXml" ds:itemID="{DB4B050E-ACF1-4777-B6BC-1CBE6E77E541}">
  <ds:schemaRefs>
    <ds:schemaRef ds:uri="http://purl.org/dc/terms/"/>
    <ds:schemaRef ds:uri="http://purl.org/dc/dcmitype/"/>
    <ds:schemaRef ds:uri="http://schemas.microsoft.com/office/2006/metadata/properties"/>
    <ds:schemaRef ds:uri="d64fd392-e17e-4b03-81f6-28c23e0495ea"/>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7bcf2e7b-cf47-4e17-b632-5558487ec044"/>
    <ds:schemaRef ds:uri="http://www.w3.org/XML/1998/namespace"/>
  </ds:schemaRefs>
</ds:datastoreItem>
</file>

<file path=customXml/itemProps3.xml><?xml version="1.0" encoding="utf-8"?>
<ds:datastoreItem xmlns:ds="http://schemas.openxmlformats.org/officeDocument/2006/customXml" ds:itemID="{956E9006-3683-4A48-9BAF-46188A547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f2e7b-cf47-4e17-b632-5558487ec044"/>
    <ds:schemaRef ds:uri="d64fd392-e17e-4b03-81f6-28c23e04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FD7BE-6729-4769-A1E1-6B377DEC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2219</Words>
  <Characters>12206</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Proposition de texte pour le communiqué de presse Misys plc concernant la distinction reçue par Noël Amenc</vt:lpstr>
      <vt:lpstr>Proposition de texte pour le communiqué de presse Misys plc concernant la distinction reçue par Noël Amenc</vt:lpstr>
    </vt:vector>
  </TitlesOfParts>
  <Company>misys</Company>
  <LinksUpToDate>false</LinksUpToDate>
  <CharactersWithSpaces>14397</CharactersWithSpaces>
  <SharedDoc>false</SharedDoc>
  <HLinks>
    <vt:vector size="24" baseType="variant">
      <vt:variant>
        <vt:i4>2752624</vt:i4>
      </vt:variant>
      <vt:variant>
        <vt:i4>9</vt:i4>
      </vt:variant>
      <vt:variant>
        <vt:i4>0</vt:i4>
      </vt:variant>
      <vt:variant>
        <vt:i4>5</vt:i4>
      </vt:variant>
      <vt:variant>
        <vt:lpwstr>http://www.edhec-risk.com/</vt:lpwstr>
      </vt:variant>
      <vt:variant>
        <vt:lpwstr/>
      </vt:variant>
      <vt:variant>
        <vt:i4>2752624</vt:i4>
      </vt:variant>
      <vt:variant>
        <vt:i4>6</vt:i4>
      </vt:variant>
      <vt:variant>
        <vt:i4>0</vt:i4>
      </vt:variant>
      <vt:variant>
        <vt:i4>5</vt:i4>
      </vt:variant>
      <vt:variant>
        <vt:lpwstr>http://www.edhec-risk.com/</vt:lpwstr>
      </vt:variant>
      <vt:variant>
        <vt:lpwstr/>
      </vt:variant>
      <vt:variant>
        <vt:i4>2752624</vt:i4>
      </vt:variant>
      <vt:variant>
        <vt:i4>3</vt:i4>
      </vt:variant>
      <vt:variant>
        <vt:i4>0</vt:i4>
      </vt:variant>
      <vt:variant>
        <vt:i4>5</vt:i4>
      </vt:variant>
      <vt:variant>
        <vt:lpwstr>http://www.edhec-risk.com/</vt:lpwstr>
      </vt:variant>
      <vt:variant>
        <vt:lpwstr/>
      </vt:variant>
      <vt:variant>
        <vt:i4>2359320</vt:i4>
      </vt:variant>
      <vt:variant>
        <vt:i4>0</vt:i4>
      </vt:variant>
      <vt:variant>
        <vt:i4>0</vt:i4>
      </vt:variant>
      <vt:variant>
        <vt:i4>5</vt:i4>
      </vt:variant>
      <vt:variant>
        <vt:lpwstr>mailto:laura.pensato@edhec-risk.com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texte pour le communiqué de presse Misys plc concernant la distinction reçue par Noël Amenc</dc:title>
  <dc:subject/>
  <dc:creator>LaKrilof</dc:creator>
  <cp:keywords/>
  <dc:description/>
  <cp:lastModifiedBy>GAUCHON Maud</cp:lastModifiedBy>
  <cp:revision>2</cp:revision>
  <cp:lastPrinted>2020-02-28T13:13:00Z</cp:lastPrinted>
  <dcterms:created xsi:type="dcterms:W3CDTF">2021-06-22T13:18:00Z</dcterms:created>
  <dcterms:modified xsi:type="dcterms:W3CDTF">2021-06-22T13:18:00Z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0x010100C4869C6E3D17A149BF3177AF62D465D0</vt:lpwstr>
  </property>
  <property fmtid="{D5CDD505-2E9C-101B-9397-08002B2CF9AE}" pid="4" name="MSIP_Label_e2f0d0b2-43fc-4722-98d4-b587ef4148d4_Enabled">
    <vt:lpwstr>true</vt:lpwstr>
  </property>
  <property fmtid="{D5CDD505-2E9C-101B-9397-08002B2CF9AE}" pid="5" name="MSIP_Label_e2f0d0b2-43fc-4722-98d4-b587ef4148d4_SetDate">
    <vt:lpwstr>2021-06-22T13:02:20Z</vt:lpwstr>
  </property>
  <property fmtid="{D5CDD505-2E9C-101B-9397-08002B2CF9AE}" pid="6" name="MSIP_Label_e2f0d0b2-43fc-4722-98d4-b587ef4148d4_Method">
    <vt:lpwstr>Privileged</vt:lpwstr>
  </property>
  <property fmtid="{D5CDD505-2E9C-101B-9397-08002B2CF9AE}" pid="7" name="MSIP_Label_e2f0d0b2-43fc-4722-98d4-b587ef4148d4_Name">
    <vt:lpwstr>Non Business</vt:lpwstr>
  </property>
  <property fmtid="{D5CDD505-2E9C-101B-9397-08002B2CF9AE}" pid="8" name="MSIP_Label_e2f0d0b2-43fc-4722-98d4-b587ef4148d4_SiteId">
    <vt:lpwstr>f36d0a0b-122d-4d4b-9a62-2f60847775a7</vt:lpwstr>
  </property>
  <property fmtid="{D5CDD505-2E9C-101B-9397-08002B2CF9AE}" pid="9" name="MSIP_Label_e2f0d0b2-43fc-4722-98d4-b587ef4148d4_ActionId">
    <vt:lpwstr>ba0f7238-d106-44ea-a453-fc3d02a29293</vt:lpwstr>
  </property>
  <property fmtid="{D5CDD505-2E9C-101B-9397-08002B2CF9AE}" pid="10" name="MSIP_Label_e2f0d0b2-43fc-4722-98d4-b587ef4148d4_ContentBits">
    <vt:lpwstr>0</vt:lpwstr>
  </property>
</Properties>
</file>