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8" w:rsidRPr="00E82113" w:rsidRDefault="00632401">
      <w:pPr>
        <w:spacing w:line="280" w:lineRule="exact"/>
        <w:jc w:val="center"/>
        <w:rPr>
          <w:b/>
          <w:sz w:val="26"/>
        </w:rPr>
      </w:pPr>
      <w:r w:rsidRPr="00E82113">
        <w:rPr>
          <w:noProof/>
          <w:lang w:val="fr-FR"/>
        </w:rPr>
        <w:drawing>
          <wp:anchor distT="0" distB="0" distL="114300" distR="114300" simplePos="0" relativeHeight="251656704" behindDoc="0" locked="0" layoutInCell="1" allowOverlap="1">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rsidR="00C203DD" w:rsidRPr="00E82113" w:rsidRDefault="00C203DD">
      <w:pPr>
        <w:pStyle w:val="Header"/>
        <w:tabs>
          <w:tab w:val="clear" w:pos="4536"/>
          <w:tab w:val="clear" w:pos="9072"/>
        </w:tabs>
        <w:rPr>
          <w:b/>
          <w:sz w:val="32"/>
        </w:rPr>
      </w:pPr>
    </w:p>
    <w:p w:rsidR="0009747F" w:rsidRPr="00E82113" w:rsidRDefault="0009747F">
      <w:pPr>
        <w:pStyle w:val="Header"/>
        <w:tabs>
          <w:tab w:val="clear" w:pos="4536"/>
          <w:tab w:val="clear" w:pos="9072"/>
        </w:tabs>
        <w:rPr>
          <w:b/>
          <w:sz w:val="32"/>
        </w:rPr>
      </w:pPr>
    </w:p>
    <w:p w:rsidR="00AF2BBF" w:rsidRPr="00E82113" w:rsidRDefault="00AF2BBF">
      <w:pPr>
        <w:pStyle w:val="Header"/>
        <w:tabs>
          <w:tab w:val="clear" w:pos="4536"/>
          <w:tab w:val="clear" w:pos="9072"/>
        </w:tabs>
        <w:rPr>
          <w:b/>
          <w:sz w:val="32"/>
        </w:rPr>
      </w:pPr>
    </w:p>
    <w:p w:rsidR="003A22BC" w:rsidRPr="00F147F4" w:rsidRDefault="003A22BC" w:rsidP="00F409B2">
      <w:pPr>
        <w:pStyle w:val="Header"/>
        <w:tabs>
          <w:tab w:val="clear" w:pos="4536"/>
          <w:tab w:val="clear" w:pos="9072"/>
          <w:tab w:val="right" w:pos="9000"/>
        </w:tabs>
        <w:rPr>
          <w:b/>
          <w:bCs/>
          <w:sz w:val="24"/>
          <w:szCs w:val="24"/>
        </w:rPr>
      </w:pPr>
    </w:p>
    <w:p w:rsidR="004D0478" w:rsidRPr="00F147F4" w:rsidRDefault="004D0478" w:rsidP="00F409B2">
      <w:pPr>
        <w:pStyle w:val="Header"/>
        <w:tabs>
          <w:tab w:val="clear" w:pos="4536"/>
          <w:tab w:val="clear" w:pos="9072"/>
          <w:tab w:val="right" w:pos="9000"/>
        </w:tabs>
        <w:rPr>
          <w:b/>
          <w:snapToGrid w:val="0"/>
          <w:color w:val="000000"/>
          <w:sz w:val="24"/>
        </w:rPr>
      </w:pPr>
      <w:r w:rsidRPr="00F147F4">
        <w:rPr>
          <w:b/>
          <w:bCs/>
          <w:sz w:val="24"/>
          <w:szCs w:val="24"/>
        </w:rPr>
        <w:t>Press Release</w:t>
      </w:r>
      <w:r w:rsidR="000F1556" w:rsidRPr="00F147F4">
        <w:rPr>
          <w:b/>
          <w:bCs/>
          <w:sz w:val="24"/>
          <w:szCs w:val="24"/>
        </w:rPr>
        <w:tab/>
      </w:r>
      <w:r w:rsidR="004F7E21" w:rsidRPr="00F147F4">
        <w:rPr>
          <w:b/>
          <w:bCs/>
          <w:sz w:val="24"/>
          <w:szCs w:val="24"/>
        </w:rPr>
        <w:t xml:space="preserve">London, </w:t>
      </w:r>
      <w:r w:rsidR="003E02F0" w:rsidRPr="00F147F4">
        <w:rPr>
          <w:b/>
          <w:snapToGrid w:val="0"/>
          <w:color w:val="000000"/>
          <w:sz w:val="24"/>
        </w:rPr>
        <w:t xml:space="preserve">Nice, </w:t>
      </w:r>
      <w:r w:rsidR="00211CD6" w:rsidRPr="00F147F4">
        <w:rPr>
          <w:b/>
          <w:snapToGrid w:val="0"/>
          <w:color w:val="000000"/>
          <w:sz w:val="24"/>
        </w:rPr>
        <w:t xml:space="preserve">Paris, </w:t>
      </w:r>
      <w:r w:rsidR="0038022E" w:rsidRPr="00F147F4">
        <w:rPr>
          <w:b/>
          <w:snapToGrid w:val="0"/>
          <w:color w:val="000000"/>
          <w:sz w:val="24"/>
        </w:rPr>
        <w:t xml:space="preserve">September </w:t>
      </w:r>
      <w:r w:rsidR="003E48EE">
        <w:rPr>
          <w:b/>
          <w:snapToGrid w:val="0"/>
          <w:color w:val="000000"/>
          <w:sz w:val="24"/>
        </w:rPr>
        <w:t>20</w:t>
      </w:r>
      <w:r w:rsidR="00D975ED" w:rsidRPr="00F147F4">
        <w:rPr>
          <w:b/>
          <w:snapToGrid w:val="0"/>
          <w:color w:val="000000"/>
          <w:sz w:val="24"/>
        </w:rPr>
        <w:t>,</w:t>
      </w:r>
      <w:r w:rsidR="004540A3" w:rsidRPr="00F147F4">
        <w:rPr>
          <w:b/>
          <w:snapToGrid w:val="0"/>
          <w:color w:val="000000"/>
          <w:sz w:val="24"/>
        </w:rPr>
        <w:t xml:space="preserve"> 20</w:t>
      </w:r>
      <w:r w:rsidR="00A76864" w:rsidRPr="00F147F4">
        <w:rPr>
          <w:b/>
          <w:snapToGrid w:val="0"/>
          <w:color w:val="000000"/>
          <w:sz w:val="24"/>
        </w:rPr>
        <w:t>1</w:t>
      </w:r>
      <w:r w:rsidR="00172D2B" w:rsidRPr="00F147F4">
        <w:rPr>
          <w:b/>
          <w:snapToGrid w:val="0"/>
          <w:color w:val="000000"/>
          <w:sz w:val="24"/>
        </w:rPr>
        <w:t>8</w:t>
      </w:r>
    </w:p>
    <w:p w:rsidR="00AE5609" w:rsidRPr="00F147F4" w:rsidRDefault="00AE5609" w:rsidP="00AE5609">
      <w:pPr>
        <w:autoSpaceDE w:val="0"/>
        <w:autoSpaceDN w:val="0"/>
        <w:adjustRightInd w:val="0"/>
        <w:spacing w:line="260" w:lineRule="atLeast"/>
        <w:rPr>
          <w:color w:val="000000"/>
          <w:sz w:val="22"/>
          <w:szCs w:val="22"/>
        </w:rPr>
      </w:pPr>
    </w:p>
    <w:p w:rsidR="00F40D60" w:rsidRPr="00F147F4" w:rsidRDefault="00F40D60" w:rsidP="00F40D60">
      <w:pPr>
        <w:spacing w:before="240" w:after="240" w:line="380" w:lineRule="exact"/>
        <w:jc w:val="center"/>
        <w:rPr>
          <w:b/>
          <w:sz w:val="36"/>
          <w:szCs w:val="36"/>
        </w:rPr>
      </w:pPr>
      <w:r w:rsidRPr="00F147F4">
        <w:rPr>
          <w:b/>
          <w:sz w:val="34"/>
          <w:szCs w:val="34"/>
        </w:rPr>
        <w:t>EDHEC-Risk</w:t>
      </w:r>
      <w:r w:rsidRPr="00F147F4">
        <w:rPr>
          <w:b/>
          <w:bCs/>
          <w:color w:val="000000"/>
          <w:sz w:val="34"/>
          <w:szCs w:val="34"/>
        </w:rPr>
        <w:t xml:space="preserve">’s </w:t>
      </w:r>
      <w:r w:rsidR="0043762B" w:rsidRPr="00F147F4">
        <w:rPr>
          <w:b/>
          <w:bCs/>
          <w:color w:val="000000"/>
          <w:sz w:val="34"/>
          <w:szCs w:val="34"/>
        </w:rPr>
        <w:t>annual</w:t>
      </w:r>
      <w:r w:rsidR="00FA2DC8" w:rsidRPr="00F147F4">
        <w:rPr>
          <w:b/>
          <w:bCs/>
          <w:color w:val="000000"/>
          <w:sz w:val="34"/>
          <w:szCs w:val="34"/>
        </w:rPr>
        <w:t xml:space="preserve"> </w:t>
      </w:r>
      <w:r w:rsidRPr="00F147F4">
        <w:rPr>
          <w:b/>
          <w:bCs/>
          <w:color w:val="000000"/>
          <w:sz w:val="34"/>
          <w:szCs w:val="34"/>
        </w:rPr>
        <w:t xml:space="preserve">European ETF </w:t>
      </w:r>
      <w:r w:rsidR="00063123" w:rsidRPr="00F147F4">
        <w:rPr>
          <w:b/>
          <w:bCs/>
          <w:color w:val="000000"/>
          <w:sz w:val="34"/>
          <w:szCs w:val="34"/>
        </w:rPr>
        <w:t xml:space="preserve">and Smart Beta </w:t>
      </w:r>
      <w:r w:rsidRPr="00F147F4">
        <w:rPr>
          <w:b/>
          <w:bCs/>
          <w:color w:val="000000"/>
          <w:sz w:val="34"/>
          <w:szCs w:val="34"/>
        </w:rPr>
        <w:t xml:space="preserve">Survey </w:t>
      </w:r>
      <w:r w:rsidR="00B32671" w:rsidRPr="00B32671">
        <w:rPr>
          <w:b/>
          <w:bCs/>
          <w:color w:val="000000"/>
          <w:sz w:val="34"/>
          <w:szCs w:val="34"/>
        </w:rPr>
        <w:t>results show growing demand for new developments in existing Smart Beta offerings</w:t>
      </w:r>
      <w:r w:rsidR="0043762B" w:rsidRPr="00F147F4">
        <w:rPr>
          <w:b/>
          <w:bCs/>
          <w:color w:val="000000"/>
          <w:sz w:val="34"/>
          <w:szCs w:val="34"/>
        </w:rPr>
        <w:br/>
      </w:r>
    </w:p>
    <w:p w:rsidR="00F40D60" w:rsidRPr="00F147F4" w:rsidRDefault="00F40D60" w:rsidP="00F40D60">
      <w:pPr>
        <w:spacing w:line="280" w:lineRule="atLeast"/>
        <w:jc w:val="both"/>
        <w:rPr>
          <w:sz w:val="22"/>
          <w:szCs w:val="22"/>
          <w:lang w:eastAsia="de-DE"/>
        </w:rPr>
      </w:pPr>
      <w:r w:rsidRPr="00F147F4">
        <w:rPr>
          <w:sz w:val="22"/>
          <w:szCs w:val="22"/>
          <w:lang w:eastAsia="de-DE"/>
        </w:rPr>
        <w:t xml:space="preserve">EDHEC-Risk Institute has announced the results </w:t>
      </w:r>
      <w:r w:rsidR="0071686D" w:rsidRPr="00F147F4">
        <w:rPr>
          <w:sz w:val="22"/>
          <w:szCs w:val="22"/>
          <w:lang w:eastAsia="de-DE"/>
        </w:rPr>
        <w:t>of</w:t>
      </w:r>
      <w:r w:rsidRPr="00F147F4">
        <w:rPr>
          <w:sz w:val="22"/>
          <w:szCs w:val="22"/>
          <w:lang w:eastAsia="de-DE"/>
        </w:rPr>
        <w:t xml:space="preserve"> </w:t>
      </w:r>
      <w:r w:rsidR="0097121A" w:rsidRPr="00F147F4">
        <w:rPr>
          <w:sz w:val="22"/>
          <w:szCs w:val="22"/>
          <w:lang w:eastAsia="de-DE"/>
        </w:rPr>
        <w:t xml:space="preserve">the </w:t>
      </w:r>
      <w:r w:rsidR="00063123" w:rsidRPr="00F147F4">
        <w:rPr>
          <w:sz w:val="22"/>
          <w:szCs w:val="22"/>
          <w:lang w:eastAsia="de-DE"/>
        </w:rPr>
        <w:t>1</w:t>
      </w:r>
      <w:r w:rsidR="0043762B" w:rsidRPr="00F147F4">
        <w:rPr>
          <w:sz w:val="22"/>
          <w:szCs w:val="22"/>
          <w:lang w:eastAsia="de-DE"/>
        </w:rPr>
        <w:t>1</w:t>
      </w:r>
      <w:r w:rsidR="00063123" w:rsidRPr="00F147F4">
        <w:rPr>
          <w:sz w:val="22"/>
          <w:szCs w:val="22"/>
          <w:vertAlign w:val="superscript"/>
          <w:lang w:eastAsia="de-DE"/>
        </w:rPr>
        <w:t>th</w:t>
      </w:r>
      <w:r w:rsidR="00063123" w:rsidRPr="00F147F4">
        <w:rPr>
          <w:sz w:val="22"/>
          <w:szCs w:val="22"/>
          <w:lang w:eastAsia="de-DE"/>
        </w:rPr>
        <w:t xml:space="preserve"> </w:t>
      </w:r>
      <w:r w:rsidR="00AE47B0" w:rsidRPr="00F147F4">
        <w:rPr>
          <w:sz w:val="22"/>
          <w:szCs w:val="22"/>
          <w:lang w:eastAsia="de-DE"/>
        </w:rPr>
        <w:t>EDHEC European ETF and Smart Beta and Factor Investing Survey</w:t>
      </w:r>
      <w:r w:rsidR="006B63B1" w:rsidRPr="00F147F4">
        <w:rPr>
          <w:rStyle w:val="FootnoteReference"/>
          <w:sz w:val="22"/>
          <w:szCs w:val="22"/>
          <w:lang w:eastAsia="de-DE"/>
        </w:rPr>
        <w:footnoteReference w:id="1"/>
      </w:r>
      <w:r w:rsidRPr="00F147F4">
        <w:rPr>
          <w:sz w:val="22"/>
          <w:szCs w:val="22"/>
          <w:lang w:eastAsia="de-DE"/>
        </w:rPr>
        <w:t>, conducted as part of the Amundi research chair at EDHEC-Risk Institute on “</w:t>
      </w:r>
      <w:r w:rsidR="004D0737" w:rsidRPr="00F147F4">
        <w:rPr>
          <w:sz w:val="22"/>
          <w:szCs w:val="22"/>
          <w:lang w:eastAsia="de-DE"/>
        </w:rPr>
        <w:t>ETF, Indexing and Smart Beta Investment Strategies</w:t>
      </w:r>
      <w:r w:rsidRPr="00F147F4">
        <w:rPr>
          <w:sz w:val="22"/>
          <w:szCs w:val="22"/>
          <w:lang w:eastAsia="de-DE"/>
        </w:rPr>
        <w:t>”</w:t>
      </w:r>
      <w:r w:rsidR="00E97CC9" w:rsidRPr="00F147F4">
        <w:rPr>
          <w:sz w:val="22"/>
          <w:szCs w:val="22"/>
          <w:lang w:eastAsia="de-DE"/>
        </w:rPr>
        <w:t xml:space="preserve">. </w:t>
      </w:r>
      <w:r w:rsidR="00974A90" w:rsidRPr="00F147F4">
        <w:rPr>
          <w:sz w:val="22"/>
          <w:szCs w:val="22"/>
          <w:lang w:eastAsia="de-DE"/>
        </w:rPr>
        <w:t>This survey, conducted since</w:t>
      </w:r>
      <w:r w:rsidR="00E97CC9" w:rsidRPr="00F147F4">
        <w:rPr>
          <w:sz w:val="22"/>
          <w:szCs w:val="22"/>
          <w:lang w:eastAsia="de-DE"/>
        </w:rPr>
        <w:t xml:space="preserve"> 2006</w:t>
      </w:r>
      <w:r w:rsidR="0097121A" w:rsidRPr="00F147F4">
        <w:rPr>
          <w:sz w:val="22"/>
          <w:szCs w:val="22"/>
          <w:lang w:eastAsia="de-DE"/>
        </w:rPr>
        <w:t>,</w:t>
      </w:r>
      <w:r w:rsidR="00974A90" w:rsidRPr="00F147F4">
        <w:rPr>
          <w:sz w:val="22"/>
          <w:szCs w:val="22"/>
          <w:lang w:eastAsia="de-DE"/>
        </w:rPr>
        <w:t xml:space="preserve"> is</w:t>
      </w:r>
      <w:r w:rsidR="00E97CC9" w:rsidRPr="00F147F4">
        <w:rPr>
          <w:sz w:val="22"/>
          <w:szCs w:val="22"/>
          <w:lang w:eastAsia="de-DE"/>
        </w:rPr>
        <w:t xml:space="preserve"> </w:t>
      </w:r>
      <w:r w:rsidR="00E70837" w:rsidRPr="00F147F4">
        <w:rPr>
          <w:sz w:val="22"/>
          <w:szCs w:val="22"/>
          <w:lang w:eastAsia="de-DE"/>
        </w:rPr>
        <w:t xml:space="preserve">aiming </w:t>
      </w:r>
      <w:r w:rsidR="0043762B" w:rsidRPr="00F147F4">
        <w:rPr>
          <w:sz w:val="22"/>
          <w:szCs w:val="22"/>
          <w:lang w:eastAsia="de-DE"/>
        </w:rPr>
        <w:t xml:space="preserve">to provide insights into European </w:t>
      </w:r>
      <w:r w:rsidR="00E70837" w:rsidRPr="00F147F4">
        <w:rPr>
          <w:sz w:val="22"/>
          <w:szCs w:val="22"/>
          <w:lang w:eastAsia="de-DE"/>
        </w:rPr>
        <w:t xml:space="preserve">investors’ </w:t>
      </w:r>
      <w:r w:rsidR="00172D2B" w:rsidRPr="00F147F4">
        <w:rPr>
          <w:sz w:val="22"/>
          <w:szCs w:val="22"/>
          <w:lang w:eastAsia="de-DE"/>
        </w:rPr>
        <w:t xml:space="preserve">perceptions, </w:t>
      </w:r>
      <w:r w:rsidR="0071686D" w:rsidRPr="00F147F4">
        <w:rPr>
          <w:sz w:val="22"/>
          <w:szCs w:val="22"/>
          <w:lang w:eastAsia="de-DE"/>
        </w:rPr>
        <w:t xml:space="preserve">practices </w:t>
      </w:r>
      <w:r w:rsidR="00172D2B" w:rsidRPr="00F147F4">
        <w:rPr>
          <w:sz w:val="22"/>
          <w:szCs w:val="22"/>
          <w:lang w:eastAsia="de-DE"/>
        </w:rPr>
        <w:t xml:space="preserve">and future plans </w:t>
      </w:r>
      <w:r w:rsidR="00E82113" w:rsidRPr="00F147F4">
        <w:rPr>
          <w:sz w:val="22"/>
          <w:szCs w:val="22"/>
          <w:lang w:eastAsia="de-DE"/>
        </w:rPr>
        <w:t xml:space="preserve">in the domain of </w:t>
      </w:r>
      <w:r w:rsidR="00D87D56" w:rsidRPr="00F147F4">
        <w:rPr>
          <w:sz w:val="22"/>
          <w:szCs w:val="22"/>
          <w:lang w:eastAsia="de-DE"/>
        </w:rPr>
        <w:t xml:space="preserve">ETFs and </w:t>
      </w:r>
      <w:r w:rsidR="00E70837" w:rsidRPr="00F147F4">
        <w:rPr>
          <w:sz w:val="22"/>
          <w:szCs w:val="22"/>
          <w:lang w:eastAsia="de-DE"/>
        </w:rPr>
        <w:t>S</w:t>
      </w:r>
      <w:r w:rsidR="00D87D56" w:rsidRPr="00F147F4">
        <w:rPr>
          <w:sz w:val="22"/>
          <w:szCs w:val="22"/>
          <w:lang w:eastAsia="de-DE"/>
        </w:rPr>
        <w:t xml:space="preserve">mart </w:t>
      </w:r>
      <w:r w:rsidR="00E70837" w:rsidRPr="00F147F4">
        <w:rPr>
          <w:sz w:val="22"/>
          <w:szCs w:val="22"/>
          <w:lang w:eastAsia="de-DE"/>
        </w:rPr>
        <w:t>B</w:t>
      </w:r>
      <w:r w:rsidR="00D87D56" w:rsidRPr="00F147F4">
        <w:rPr>
          <w:sz w:val="22"/>
          <w:szCs w:val="22"/>
          <w:lang w:eastAsia="de-DE"/>
        </w:rPr>
        <w:t>eta</w:t>
      </w:r>
      <w:r w:rsidR="00E70837" w:rsidRPr="00F147F4">
        <w:rPr>
          <w:sz w:val="22"/>
          <w:szCs w:val="22"/>
          <w:lang w:eastAsia="de-DE"/>
        </w:rPr>
        <w:t>.</w:t>
      </w:r>
      <w:r w:rsidR="00172D2B" w:rsidRPr="00F147F4">
        <w:rPr>
          <w:sz w:val="22"/>
          <w:szCs w:val="22"/>
          <w:lang w:eastAsia="de-DE"/>
        </w:rPr>
        <w:t xml:space="preserve"> </w:t>
      </w:r>
      <w:r w:rsidR="00E70837" w:rsidRPr="00F147F4">
        <w:rPr>
          <w:sz w:val="22"/>
          <w:szCs w:val="22"/>
          <w:lang w:eastAsia="de-DE"/>
        </w:rPr>
        <w:t>This year</w:t>
      </w:r>
      <w:r w:rsidR="00F147F4">
        <w:rPr>
          <w:sz w:val="22"/>
          <w:szCs w:val="22"/>
          <w:lang w:eastAsia="de-DE"/>
        </w:rPr>
        <w:t>,</w:t>
      </w:r>
      <w:r w:rsidR="00E70837" w:rsidRPr="00F147F4">
        <w:rPr>
          <w:sz w:val="22"/>
          <w:szCs w:val="22"/>
          <w:lang w:eastAsia="de-DE"/>
        </w:rPr>
        <w:t xml:space="preserve"> the </w:t>
      </w:r>
      <w:r w:rsidR="00AB78E1">
        <w:rPr>
          <w:sz w:val="22"/>
          <w:szCs w:val="22"/>
          <w:lang w:eastAsia="de-DE"/>
        </w:rPr>
        <w:t>s</w:t>
      </w:r>
      <w:r w:rsidR="00E70837" w:rsidRPr="00F147F4">
        <w:rPr>
          <w:sz w:val="22"/>
          <w:szCs w:val="22"/>
          <w:lang w:eastAsia="de-DE"/>
        </w:rPr>
        <w:t>urvey also includes a special focus on</w:t>
      </w:r>
      <w:r w:rsidR="00E60FAF" w:rsidRPr="00F147F4">
        <w:rPr>
          <w:sz w:val="22"/>
          <w:szCs w:val="22"/>
          <w:lang w:eastAsia="de-DE"/>
        </w:rPr>
        <w:t xml:space="preserve"> Smart Beta</w:t>
      </w:r>
      <w:r w:rsidR="00E70837" w:rsidRPr="00F147F4">
        <w:rPr>
          <w:sz w:val="22"/>
          <w:szCs w:val="22"/>
          <w:lang w:eastAsia="de-DE"/>
        </w:rPr>
        <w:t xml:space="preserve"> product development</w:t>
      </w:r>
      <w:r w:rsidR="00E60FAF" w:rsidRPr="00F147F4">
        <w:rPr>
          <w:sz w:val="22"/>
          <w:szCs w:val="22"/>
          <w:lang w:eastAsia="de-DE"/>
        </w:rPr>
        <w:t xml:space="preserve">, </w:t>
      </w:r>
      <w:r w:rsidR="0038022E" w:rsidRPr="00F147F4">
        <w:rPr>
          <w:sz w:val="22"/>
          <w:szCs w:val="22"/>
          <w:lang w:eastAsia="de-DE"/>
        </w:rPr>
        <w:t>considering</w:t>
      </w:r>
      <w:r w:rsidR="00E60FAF" w:rsidRPr="00F147F4">
        <w:rPr>
          <w:sz w:val="22"/>
          <w:szCs w:val="22"/>
          <w:lang w:eastAsia="de-DE"/>
        </w:rPr>
        <w:t xml:space="preserve"> specific client demand in the fixed income field. </w:t>
      </w:r>
    </w:p>
    <w:p w:rsidR="00F40D60" w:rsidRPr="00F147F4" w:rsidRDefault="00F40D60" w:rsidP="00F40D60">
      <w:pPr>
        <w:spacing w:line="240" w:lineRule="atLeast"/>
        <w:jc w:val="both"/>
        <w:rPr>
          <w:snapToGrid w:val="0"/>
          <w:sz w:val="22"/>
          <w:szCs w:val="22"/>
        </w:rPr>
      </w:pPr>
      <w:bookmarkStart w:id="0" w:name="_GoBack"/>
      <w:bookmarkEnd w:id="0"/>
    </w:p>
    <w:p w:rsidR="00F40D60" w:rsidRPr="00F147F4" w:rsidRDefault="00974A90" w:rsidP="00F40D60">
      <w:pPr>
        <w:spacing w:line="280" w:lineRule="atLeast"/>
        <w:jc w:val="both"/>
        <w:rPr>
          <w:snapToGrid w:val="0"/>
          <w:sz w:val="22"/>
          <w:szCs w:val="22"/>
        </w:rPr>
      </w:pPr>
      <w:r w:rsidRPr="00F147F4">
        <w:rPr>
          <w:snapToGrid w:val="0"/>
          <w:sz w:val="22"/>
          <w:szCs w:val="22"/>
        </w:rPr>
        <w:t>Among the k</w:t>
      </w:r>
      <w:r w:rsidR="00F40D60" w:rsidRPr="00F147F4">
        <w:rPr>
          <w:snapToGrid w:val="0"/>
          <w:sz w:val="22"/>
          <w:szCs w:val="22"/>
        </w:rPr>
        <w:t xml:space="preserve">ey findings of </w:t>
      </w:r>
      <w:r w:rsidRPr="00F147F4">
        <w:rPr>
          <w:snapToGrid w:val="0"/>
          <w:sz w:val="22"/>
          <w:szCs w:val="22"/>
        </w:rPr>
        <w:t>this edition:</w:t>
      </w:r>
    </w:p>
    <w:p w:rsidR="00DE2760" w:rsidRPr="00F147F4" w:rsidRDefault="00DE2760" w:rsidP="00F40D60">
      <w:pPr>
        <w:spacing w:line="280" w:lineRule="atLeast"/>
        <w:jc w:val="both"/>
        <w:rPr>
          <w:snapToGrid w:val="0"/>
          <w:sz w:val="22"/>
          <w:szCs w:val="22"/>
        </w:rPr>
      </w:pPr>
    </w:p>
    <w:p w:rsidR="00015EC6" w:rsidRPr="00F147F4" w:rsidRDefault="00015EC6" w:rsidP="00015EC6">
      <w:pPr>
        <w:pStyle w:val="ListParagraph"/>
        <w:numPr>
          <w:ilvl w:val="0"/>
          <w:numId w:val="21"/>
        </w:numPr>
        <w:spacing w:after="200" w:line="276" w:lineRule="auto"/>
        <w:rPr>
          <w:rFonts w:ascii="Times New Roman" w:eastAsia="Times New Roman" w:hAnsi="Times New Roman" w:cs="Times New Roman"/>
          <w:color w:val="000000" w:themeColor="text1"/>
          <w:lang w:eastAsia="de-DE"/>
        </w:rPr>
      </w:pPr>
      <w:r w:rsidRPr="00F147F4">
        <w:rPr>
          <w:rFonts w:ascii="Times New Roman" w:eastAsia="Times New Roman" w:hAnsi="Times New Roman" w:cs="Times New Roman"/>
          <w:b/>
          <w:color w:val="000000" w:themeColor="text1"/>
          <w:lang w:eastAsia="de-DE"/>
        </w:rPr>
        <w:t>Since 2006, the increase of the percentage of respondents using ETFs in traditional asset classes has been spectacular</w:t>
      </w:r>
      <w:r w:rsidRPr="00F147F4">
        <w:rPr>
          <w:rFonts w:ascii="Times New Roman" w:eastAsia="Times New Roman" w:hAnsi="Times New Roman" w:cs="Times New Roman"/>
          <w:color w:val="000000" w:themeColor="text1"/>
          <w:lang w:eastAsia="de-DE"/>
        </w:rPr>
        <w:t xml:space="preserve">: </w:t>
      </w:r>
      <w:r w:rsidR="0034121A" w:rsidRPr="00F147F4">
        <w:rPr>
          <w:rFonts w:ascii="Times New Roman" w:eastAsia="Times New Roman" w:hAnsi="Times New Roman" w:cs="Times New Roman"/>
          <w:color w:val="000000" w:themeColor="text1"/>
          <w:lang w:eastAsia="de-DE"/>
        </w:rPr>
        <w:t>in 2006, 45% of respondents used ETFs to invest in equities, compared with 92% in 2018. As for governments and corporate bonds, the result went from 13% and 6% in 2006, to 62% and 66%, respectively, in 2018.</w:t>
      </w:r>
    </w:p>
    <w:p w:rsidR="00D80045" w:rsidRPr="00F147F4" w:rsidRDefault="00D80045">
      <w:pPr>
        <w:pStyle w:val="ListParagraph"/>
        <w:spacing w:after="200" w:line="276" w:lineRule="auto"/>
        <w:rPr>
          <w:rFonts w:ascii="Times New Roman" w:eastAsia="Times New Roman" w:hAnsi="Times New Roman" w:cs="Times New Roman"/>
          <w:color w:val="000000" w:themeColor="text1"/>
          <w:lang w:eastAsia="de-DE"/>
        </w:rPr>
      </w:pPr>
    </w:p>
    <w:p w:rsidR="00974A90" w:rsidRPr="00F147F4" w:rsidRDefault="001F21BD" w:rsidP="001F21BD">
      <w:pPr>
        <w:pStyle w:val="ListParagraph"/>
        <w:numPr>
          <w:ilvl w:val="0"/>
          <w:numId w:val="21"/>
        </w:numPr>
        <w:spacing w:after="200" w:line="280" w:lineRule="atLeast"/>
        <w:rPr>
          <w:snapToGrid w:val="0"/>
          <w:color w:val="000000" w:themeColor="text1"/>
        </w:rPr>
      </w:pPr>
      <w:r w:rsidRPr="00F147F4">
        <w:rPr>
          <w:rFonts w:ascii="Times New Roman" w:hAnsi="Times New Roman" w:cs="Times New Roman"/>
          <w:snapToGrid w:val="0"/>
          <w:color w:val="000000" w:themeColor="text1"/>
          <w:lang w:eastAsia="fr-FR"/>
        </w:rPr>
        <w:t xml:space="preserve">Satisfaction has remained at high levels especially for traditional asset classes </w:t>
      </w:r>
      <w:r w:rsidRPr="00F147F4">
        <w:rPr>
          <w:rFonts w:ascii="Times New Roman" w:hAnsi="Times New Roman" w:cs="Times New Roman"/>
          <w:b/>
          <w:snapToGrid w:val="0"/>
          <w:color w:val="000000" w:themeColor="text1"/>
          <w:lang w:eastAsia="fr-FR"/>
        </w:rPr>
        <w:t>with a</w:t>
      </w:r>
      <w:r w:rsidRPr="00F147F4">
        <w:rPr>
          <w:rFonts w:ascii="Times New Roman" w:hAnsi="Times New Roman" w:cs="Times New Roman"/>
          <w:b/>
          <w:color w:val="000000" w:themeColor="text1"/>
          <w:lang w:eastAsia="de-DE"/>
        </w:rPr>
        <w:t xml:space="preserve"> significant increase in satisfaction with equity ETFs and government bonds, which now enjoy satisfaction rate</w:t>
      </w:r>
      <w:r w:rsidR="00F147F4">
        <w:rPr>
          <w:rFonts w:ascii="Times New Roman" w:hAnsi="Times New Roman" w:cs="Times New Roman"/>
          <w:b/>
          <w:color w:val="000000" w:themeColor="text1"/>
          <w:lang w:eastAsia="de-DE"/>
        </w:rPr>
        <w:t>s</w:t>
      </w:r>
      <w:r w:rsidRPr="00F147F4">
        <w:rPr>
          <w:rFonts w:ascii="Times New Roman" w:hAnsi="Times New Roman" w:cs="Times New Roman"/>
          <w:b/>
          <w:color w:val="000000" w:themeColor="text1"/>
          <w:lang w:eastAsia="de-DE"/>
        </w:rPr>
        <w:t xml:space="preserve"> of 97% and 92%</w:t>
      </w:r>
      <w:r w:rsidR="00F147F4">
        <w:rPr>
          <w:rFonts w:ascii="Times New Roman" w:hAnsi="Times New Roman" w:cs="Times New Roman"/>
          <w:b/>
          <w:color w:val="000000" w:themeColor="text1"/>
          <w:lang w:eastAsia="de-DE"/>
        </w:rPr>
        <w:t>,</w:t>
      </w:r>
      <w:r w:rsidRPr="00F147F4">
        <w:rPr>
          <w:rFonts w:ascii="Times New Roman" w:hAnsi="Times New Roman" w:cs="Times New Roman"/>
          <w:b/>
          <w:color w:val="000000" w:themeColor="text1"/>
          <w:lang w:eastAsia="de-DE"/>
        </w:rPr>
        <w:t xml:space="preserve"> respectively</w:t>
      </w:r>
      <w:r w:rsidRPr="00F147F4">
        <w:rPr>
          <w:rFonts w:ascii="Times New Roman" w:hAnsi="Times New Roman" w:cs="Times New Roman"/>
          <w:color w:val="000000" w:themeColor="text1"/>
          <w:lang w:eastAsia="de-DE"/>
        </w:rPr>
        <w:t>.</w:t>
      </w:r>
    </w:p>
    <w:p w:rsidR="00D80045" w:rsidRPr="00F147F4" w:rsidRDefault="00D80045">
      <w:pPr>
        <w:pStyle w:val="ListParagraph"/>
        <w:spacing w:after="200" w:line="280" w:lineRule="atLeast"/>
        <w:rPr>
          <w:rFonts w:ascii="Times New Roman" w:eastAsia="Times New Roman" w:hAnsi="Times New Roman" w:cs="Times New Roman"/>
          <w:color w:val="000000" w:themeColor="text1"/>
          <w:lang w:eastAsia="de-DE"/>
        </w:rPr>
      </w:pPr>
    </w:p>
    <w:p w:rsidR="00D80045" w:rsidRPr="00F147F4" w:rsidRDefault="00BD5A22" w:rsidP="0067221F">
      <w:pPr>
        <w:pStyle w:val="ListParagraph"/>
        <w:numPr>
          <w:ilvl w:val="0"/>
          <w:numId w:val="21"/>
        </w:numPr>
        <w:spacing w:line="280" w:lineRule="atLeast"/>
        <w:rPr>
          <w:rFonts w:ascii="Times New Roman" w:eastAsia="Times New Roman" w:hAnsi="Times New Roman" w:cs="Times New Roman"/>
          <w:color w:val="000000" w:themeColor="text1"/>
          <w:lang w:eastAsia="de-DE"/>
        </w:rPr>
      </w:pPr>
      <w:r w:rsidRPr="00F147F4" w:rsidDel="005B1F8D">
        <w:rPr>
          <w:rFonts w:ascii="Times New Roman" w:eastAsia="Times New Roman" w:hAnsi="Times New Roman" w:cs="Times New Roman"/>
          <w:b/>
          <w:color w:val="000000" w:themeColor="text1"/>
          <w:lang w:eastAsia="de-DE"/>
        </w:rPr>
        <w:t>About two-third</w:t>
      </w:r>
      <w:r w:rsidR="00071E7E" w:rsidRPr="00F147F4">
        <w:rPr>
          <w:rFonts w:ascii="Times New Roman" w:eastAsia="Times New Roman" w:hAnsi="Times New Roman" w:cs="Times New Roman"/>
          <w:b/>
          <w:color w:val="000000" w:themeColor="text1"/>
          <w:lang w:eastAsia="de-DE"/>
        </w:rPr>
        <w:t>s</w:t>
      </w:r>
      <w:r w:rsidRPr="00F147F4" w:rsidDel="005B1F8D">
        <w:rPr>
          <w:rFonts w:ascii="Times New Roman" w:eastAsia="Times New Roman" w:hAnsi="Times New Roman" w:cs="Times New Roman"/>
          <w:b/>
          <w:color w:val="000000" w:themeColor="text1"/>
          <w:lang w:eastAsia="de-DE"/>
        </w:rPr>
        <w:t xml:space="preserve"> of respondents (67%) use</w:t>
      </w:r>
      <w:r w:rsidR="00071E7E" w:rsidRPr="00F147F4">
        <w:rPr>
          <w:rFonts w:ascii="Times New Roman" w:eastAsia="Times New Roman" w:hAnsi="Times New Roman" w:cs="Times New Roman"/>
          <w:b/>
          <w:color w:val="000000" w:themeColor="text1"/>
          <w:lang w:eastAsia="de-DE"/>
        </w:rPr>
        <w:t>d</w:t>
      </w:r>
      <w:r w:rsidRPr="00F147F4" w:rsidDel="005B1F8D">
        <w:rPr>
          <w:rFonts w:ascii="Times New Roman" w:eastAsia="Times New Roman" w:hAnsi="Times New Roman" w:cs="Times New Roman"/>
          <w:b/>
          <w:color w:val="000000" w:themeColor="text1"/>
          <w:lang w:eastAsia="de-DE"/>
        </w:rPr>
        <w:t xml:space="preserve"> ETFs to invest in </w:t>
      </w:r>
      <w:r w:rsidR="00AB78E1">
        <w:rPr>
          <w:rFonts w:ascii="Times New Roman" w:eastAsia="Times New Roman" w:hAnsi="Times New Roman" w:cs="Times New Roman"/>
          <w:b/>
          <w:color w:val="000000" w:themeColor="text1"/>
          <w:lang w:eastAsia="de-DE"/>
        </w:rPr>
        <w:t>S</w:t>
      </w:r>
      <w:r w:rsidRPr="00F147F4" w:rsidDel="005B1F8D">
        <w:rPr>
          <w:rFonts w:ascii="Times New Roman" w:eastAsia="Times New Roman" w:hAnsi="Times New Roman" w:cs="Times New Roman"/>
          <w:b/>
          <w:color w:val="000000" w:themeColor="text1"/>
          <w:lang w:eastAsia="de-DE"/>
        </w:rPr>
        <w:t xml:space="preserve">mart </w:t>
      </w:r>
      <w:r w:rsidR="00AB78E1">
        <w:rPr>
          <w:rFonts w:ascii="Times New Roman" w:eastAsia="Times New Roman" w:hAnsi="Times New Roman" w:cs="Times New Roman"/>
          <w:b/>
          <w:color w:val="000000" w:themeColor="text1"/>
          <w:lang w:eastAsia="de-DE"/>
        </w:rPr>
        <w:t>B</w:t>
      </w:r>
      <w:r w:rsidRPr="00F147F4" w:rsidDel="005B1F8D">
        <w:rPr>
          <w:rFonts w:ascii="Times New Roman" w:eastAsia="Times New Roman" w:hAnsi="Times New Roman" w:cs="Times New Roman"/>
          <w:b/>
          <w:color w:val="000000" w:themeColor="text1"/>
          <w:lang w:eastAsia="de-DE"/>
        </w:rPr>
        <w:t>eta in 201</w:t>
      </w:r>
      <w:r w:rsidR="0034121A" w:rsidRPr="00F147F4">
        <w:rPr>
          <w:rFonts w:ascii="Times New Roman" w:eastAsia="Times New Roman" w:hAnsi="Times New Roman" w:cs="Times New Roman"/>
          <w:b/>
          <w:color w:val="000000" w:themeColor="text1"/>
          <w:lang w:eastAsia="de-DE"/>
        </w:rPr>
        <w:t>8</w:t>
      </w:r>
      <w:r w:rsidRPr="00F147F4" w:rsidDel="005B1F8D">
        <w:rPr>
          <w:rFonts w:ascii="Times New Roman" w:eastAsia="Times New Roman" w:hAnsi="Times New Roman" w:cs="Times New Roman"/>
          <w:color w:val="000000" w:themeColor="text1"/>
          <w:lang w:eastAsia="de-DE"/>
        </w:rPr>
        <w:t>, a considerable increase compared to 49% in 2014</w:t>
      </w:r>
      <w:r w:rsidR="00421993" w:rsidRPr="00F147F4">
        <w:rPr>
          <w:rFonts w:ascii="Times New Roman" w:eastAsia="Times New Roman" w:hAnsi="Times New Roman" w:cs="Times New Roman"/>
          <w:color w:val="000000" w:themeColor="text1"/>
          <w:lang w:eastAsia="de-DE"/>
        </w:rPr>
        <w:t>.</w:t>
      </w:r>
    </w:p>
    <w:p w:rsidR="00D80045" w:rsidRPr="00F147F4" w:rsidRDefault="00D80045">
      <w:pPr>
        <w:pStyle w:val="ListParagraph"/>
        <w:spacing w:line="280" w:lineRule="atLeast"/>
        <w:rPr>
          <w:snapToGrid w:val="0"/>
        </w:rPr>
      </w:pPr>
    </w:p>
    <w:p w:rsidR="001F21BD" w:rsidRPr="00F147F4" w:rsidRDefault="001F21BD" w:rsidP="00980A55">
      <w:pPr>
        <w:pStyle w:val="ListParagraph"/>
        <w:numPr>
          <w:ilvl w:val="0"/>
          <w:numId w:val="21"/>
        </w:numPr>
        <w:tabs>
          <w:tab w:val="clear" w:pos="709"/>
        </w:tabs>
        <w:spacing w:after="0" w:line="280" w:lineRule="atLeast"/>
        <w:rPr>
          <w:rFonts w:ascii="Times New Roman" w:hAnsi="Times New Roman" w:cs="Times New Roman"/>
          <w:color w:val="000000" w:themeColor="text1"/>
          <w:lang w:eastAsia="de-DE"/>
        </w:rPr>
      </w:pPr>
      <w:r w:rsidRPr="00F147F4">
        <w:rPr>
          <w:rFonts w:ascii="Times New Roman" w:hAnsi="Times New Roman" w:cs="Times New Roman"/>
          <w:color w:val="000000" w:themeColor="text1"/>
          <w:lang w:eastAsia="de-DE"/>
        </w:rPr>
        <w:t xml:space="preserve">Respondents most frequently use </w:t>
      </w:r>
      <w:r w:rsidR="00AB78E1">
        <w:rPr>
          <w:rFonts w:ascii="Times New Roman" w:hAnsi="Times New Roman" w:cs="Times New Roman"/>
          <w:color w:val="000000" w:themeColor="text1"/>
          <w:lang w:eastAsia="de-DE"/>
        </w:rPr>
        <w:t>S</w:t>
      </w:r>
      <w:r w:rsidRPr="00F147F4">
        <w:rPr>
          <w:rFonts w:ascii="Times New Roman" w:hAnsi="Times New Roman" w:cs="Times New Roman"/>
          <w:color w:val="000000" w:themeColor="text1"/>
          <w:lang w:eastAsia="de-DE"/>
        </w:rPr>
        <w:t xml:space="preserve">mart </w:t>
      </w:r>
      <w:r w:rsidR="00AB78E1">
        <w:rPr>
          <w:rFonts w:ascii="Times New Roman" w:hAnsi="Times New Roman" w:cs="Times New Roman"/>
          <w:color w:val="000000" w:themeColor="text1"/>
          <w:lang w:eastAsia="de-DE"/>
        </w:rPr>
        <w:t>B</w:t>
      </w:r>
      <w:r w:rsidRPr="00F147F4">
        <w:rPr>
          <w:rFonts w:ascii="Times New Roman" w:hAnsi="Times New Roman" w:cs="Times New Roman"/>
          <w:color w:val="000000" w:themeColor="text1"/>
          <w:lang w:eastAsia="de-DE"/>
        </w:rPr>
        <w:t>eta /</w:t>
      </w:r>
      <w:r w:rsidR="00F147F4">
        <w:rPr>
          <w:rFonts w:ascii="Times New Roman" w:hAnsi="Times New Roman" w:cs="Times New Roman"/>
          <w:color w:val="000000" w:themeColor="text1"/>
          <w:lang w:eastAsia="de-DE"/>
        </w:rPr>
        <w:t xml:space="preserve"> </w:t>
      </w:r>
      <w:r w:rsidR="00AB78E1">
        <w:rPr>
          <w:rFonts w:ascii="Times New Roman" w:hAnsi="Times New Roman" w:cs="Times New Roman"/>
          <w:color w:val="000000" w:themeColor="text1"/>
          <w:lang w:eastAsia="de-DE"/>
        </w:rPr>
        <w:t>F</w:t>
      </w:r>
      <w:r w:rsidRPr="00F147F4">
        <w:rPr>
          <w:rFonts w:ascii="Times New Roman" w:hAnsi="Times New Roman" w:cs="Times New Roman"/>
          <w:color w:val="000000" w:themeColor="text1"/>
          <w:lang w:eastAsia="de-DE"/>
        </w:rPr>
        <w:t>actor-</w:t>
      </w:r>
      <w:r w:rsidR="00AB78E1">
        <w:rPr>
          <w:rFonts w:ascii="Times New Roman" w:hAnsi="Times New Roman" w:cs="Times New Roman"/>
          <w:color w:val="000000" w:themeColor="text1"/>
          <w:lang w:eastAsia="de-DE"/>
        </w:rPr>
        <w:t>B</w:t>
      </w:r>
      <w:r w:rsidRPr="00F147F4">
        <w:rPr>
          <w:rFonts w:ascii="Times New Roman" w:hAnsi="Times New Roman" w:cs="Times New Roman"/>
          <w:color w:val="000000" w:themeColor="text1"/>
          <w:lang w:eastAsia="de-DE"/>
        </w:rPr>
        <w:t xml:space="preserve">ased exposures to </w:t>
      </w:r>
      <w:r w:rsidRPr="00F147F4">
        <w:rPr>
          <w:rFonts w:ascii="Times New Roman" w:hAnsi="Times New Roman" w:cs="Times New Roman"/>
          <w:b/>
          <w:color w:val="000000" w:themeColor="text1"/>
          <w:lang w:eastAsia="de-DE"/>
        </w:rPr>
        <w:t>harvest long</w:t>
      </w:r>
      <w:r w:rsidR="00F147F4">
        <w:rPr>
          <w:rFonts w:ascii="Times New Roman" w:hAnsi="Times New Roman" w:cs="Times New Roman"/>
          <w:b/>
          <w:color w:val="000000" w:themeColor="text1"/>
          <w:lang w:eastAsia="de-DE"/>
        </w:rPr>
        <w:t>-</w:t>
      </w:r>
      <w:r w:rsidRPr="00F147F4">
        <w:rPr>
          <w:rFonts w:ascii="Times New Roman" w:hAnsi="Times New Roman" w:cs="Times New Roman"/>
          <w:b/>
          <w:color w:val="000000" w:themeColor="text1"/>
          <w:lang w:eastAsia="de-DE"/>
        </w:rPr>
        <w:t xml:space="preserve">term </w:t>
      </w:r>
      <w:proofErr w:type="spellStart"/>
      <w:r w:rsidRPr="00F147F4">
        <w:rPr>
          <w:rFonts w:ascii="Times New Roman" w:hAnsi="Times New Roman" w:cs="Times New Roman"/>
          <w:b/>
          <w:color w:val="000000" w:themeColor="text1"/>
          <w:lang w:eastAsia="de-DE"/>
        </w:rPr>
        <w:t>premia</w:t>
      </w:r>
      <w:proofErr w:type="spellEnd"/>
      <w:r w:rsidRPr="00F147F4">
        <w:rPr>
          <w:rFonts w:ascii="Times New Roman" w:hAnsi="Times New Roman" w:cs="Times New Roman"/>
          <w:color w:val="000000" w:themeColor="text1"/>
          <w:lang w:eastAsia="de-DE"/>
        </w:rPr>
        <w:t xml:space="preserve"> (as opposed to tactical use).</w:t>
      </w:r>
    </w:p>
    <w:p w:rsidR="00D80045" w:rsidRPr="00F147F4" w:rsidRDefault="00D80045">
      <w:pPr>
        <w:pStyle w:val="ListParagraph"/>
        <w:tabs>
          <w:tab w:val="clear" w:pos="709"/>
        </w:tabs>
        <w:spacing w:after="0" w:line="280" w:lineRule="atLeast"/>
        <w:rPr>
          <w:rFonts w:ascii="Times New Roman" w:hAnsi="Times New Roman" w:cs="Times New Roman"/>
          <w:color w:val="000000" w:themeColor="text1"/>
          <w:lang w:eastAsia="de-DE"/>
        </w:rPr>
      </w:pPr>
    </w:p>
    <w:p w:rsidR="00974A90" w:rsidRPr="00F147F4" w:rsidRDefault="0038022E" w:rsidP="00974A90">
      <w:pPr>
        <w:pStyle w:val="ListParagraph"/>
        <w:numPr>
          <w:ilvl w:val="0"/>
          <w:numId w:val="21"/>
        </w:numPr>
        <w:tabs>
          <w:tab w:val="clear" w:pos="709"/>
        </w:tabs>
        <w:spacing w:after="0" w:line="280" w:lineRule="atLeast"/>
        <w:rPr>
          <w:rFonts w:ascii="Times New Roman" w:hAnsi="Times New Roman" w:cs="Times New Roman"/>
          <w:color w:val="000000" w:themeColor="text1"/>
          <w:lang w:eastAsia="de-DE"/>
        </w:rPr>
      </w:pPr>
      <w:r w:rsidRPr="00F147F4">
        <w:rPr>
          <w:rFonts w:ascii="Times New Roman" w:eastAsia="Times New Roman" w:hAnsi="Times New Roman" w:cs="Times New Roman"/>
          <w:color w:val="000000" w:themeColor="text1"/>
          <w:lang w:eastAsia="de-DE"/>
        </w:rPr>
        <w:t xml:space="preserve">Despite this strong motivation, more than 80% of respondents invest </w:t>
      </w:r>
      <w:r w:rsidRPr="00F147F4">
        <w:rPr>
          <w:rFonts w:ascii="Times New Roman" w:eastAsia="Times New Roman" w:hAnsi="Times New Roman" w:cs="Times New Roman"/>
          <w:b/>
          <w:color w:val="000000" w:themeColor="text1"/>
          <w:lang w:eastAsia="de-DE"/>
        </w:rPr>
        <w:t>less than 20%</w:t>
      </w:r>
      <w:r w:rsidRPr="00F147F4">
        <w:rPr>
          <w:rFonts w:ascii="Times New Roman" w:eastAsia="Times New Roman" w:hAnsi="Times New Roman" w:cs="Times New Roman"/>
          <w:color w:val="000000" w:themeColor="text1"/>
          <w:lang w:eastAsia="de-DE"/>
        </w:rPr>
        <w:t xml:space="preserve"> of their total investments in </w:t>
      </w:r>
      <w:r w:rsidR="00AB78E1">
        <w:rPr>
          <w:rFonts w:ascii="Times New Roman" w:eastAsia="Times New Roman" w:hAnsi="Times New Roman" w:cs="Times New Roman"/>
          <w:color w:val="000000" w:themeColor="text1"/>
          <w:lang w:eastAsia="de-DE"/>
        </w:rPr>
        <w:t>S</w:t>
      </w:r>
      <w:r w:rsidRPr="00F147F4">
        <w:rPr>
          <w:rFonts w:ascii="Times New Roman" w:eastAsia="Times New Roman" w:hAnsi="Times New Roman" w:cs="Times New Roman"/>
          <w:color w:val="000000" w:themeColor="text1"/>
          <w:lang w:eastAsia="de-DE"/>
        </w:rPr>
        <w:t xml:space="preserve">mart </w:t>
      </w:r>
      <w:r w:rsidR="00AB78E1">
        <w:rPr>
          <w:rFonts w:ascii="Times New Roman" w:eastAsia="Times New Roman" w:hAnsi="Times New Roman" w:cs="Times New Roman"/>
          <w:color w:val="000000" w:themeColor="text1"/>
          <w:lang w:eastAsia="de-DE"/>
        </w:rPr>
        <w:t>B</w:t>
      </w:r>
      <w:r w:rsidRPr="00F147F4">
        <w:rPr>
          <w:rFonts w:ascii="Times New Roman" w:eastAsia="Times New Roman" w:hAnsi="Times New Roman" w:cs="Times New Roman"/>
          <w:color w:val="000000" w:themeColor="text1"/>
          <w:lang w:eastAsia="de-DE"/>
        </w:rPr>
        <w:t xml:space="preserve">eta and </w:t>
      </w:r>
      <w:r w:rsidR="00AB78E1">
        <w:rPr>
          <w:rFonts w:ascii="Times New Roman" w:eastAsia="Times New Roman" w:hAnsi="Times New Roman" w:cs="Times New Roman"/>
          <w:color w:val="000000" w:themeColor="text1"/>
          <w:lang w:eastAsia="de-DE"/>
        </w:rPr>
        <w:t>F</w:t>
      </w:r>
      <w:r w:rsidRPr="00F147F4">
        <w:rPr>
          <w:rFonts w:ascii="Times New Roman" w:eastAsia="Times New Roman" w:hAnsi="Times New Roman" w:cs="Times New Roman"/>
          <w:color w:val="000000" w:themeColor="text1"/>
          <w:lang w:eastAsia="de-DE"/>
        </w:rPr>
        <w:t>actor investing strategies.</w:t>
      </w:r>
    </w:p>
    <w:p w:rsidR="00D80045" w:rsidRPr="00F147F4" w:rsidRDefault="00D80045">
      <w:pPr>
        <w:pStyle w:val="ListParagraph"/>
        <w:tabs>
          <w:tab w:val="clear" w:pos="709"/>
        </w:tabs>
        <w:spacing w:after="0" w:line="280" w:lineRule="atLeast"/>
        <w:rPr>
          <w:rFonts w:ascii="Times New Roman" w:hAnsi="Times New Roman" w:cs="Times New Roman"/>
          <w:color w:val="000000" w:themeColor="text1"/>
          <w:lang w:eastAsia="de-DE"/>
        </w:rPr>
      </w:pPr>
    </w:p>
    <w:p w:rsidR="000E55ED" w:rsidRPr="00F147F4" w:rsidRDefault="00DC696F" w:rsidP="00980A55">
      <w:pPr>
        <w:pStyle w:val="ListParagraph"/>
        <w:numPr>
          <w:ilvl w:val="0"/>
          <w:numId w:val="21"/>
        </w:numPr>
        <w:spacing w:after="200" w:line="276" w:lineRule="auto"/>
        <w:rPr>
          <w:rFonts w:ascii="Times New Roman" w:eastAsia="Times New Roman" w:hAnsi="Times New Roman" w:cs="Times New Roman"/>
          <w:color w:val="000000" w:themeColor="text1"/>
          <w:lang w:eastAsia="de-DE"/>
        </w:rPr>
      </w:pPr>
      <w:r w:rsidRPr="00F147F4">
        <w:rPr>
          <w:rFonts w:ascii="Times New Roman" w:eastAsia="Times New Roman" w:hAnsi="Times New Roman" w:cs="Times New Roman"/>
          <w:b/>
          <w:color w:val="000000" w:themeColor="text1"/>
          <w:lang w:eastAsia="de-DE"/>
        </w:rPr>
        <w:t>50</w:t>
      </w:r>
      <w:r w:rsidR="00421993" w:rsidRPr="00F147F4">
        <w:rPr>
          <w:rFonts w:ascii="Times New Roman" w:eastAsia="Times New Roman" w:hAnsi="Times New Roman" w:cs="Times New Roman"/>
          <w:b/>
          <w:color w:val="000000" w:themeColor="text1"/>
          <w:lang w:eastAsia="de-DE"/>
        </w:rPr>
        <w:t xml:space="preserve">% of investors </w:t>
      </w:r>
      <w:r w:rsidRPr="00F147F4">
        <w:rPr>
          <w:rFonts w:ascii="Times New Roman" w:eastAsia="Times New Roman" w:hAnsi="Times New Roman" w:cs="Times New Roman"/>
          <w:b/>
          <w:color w:val="000000" w:themeColor="text1"/>
          <w:lang w:eastAsia="de-DE"/>
        </w:rPr>
        <w:t xml:space="preserve">still </w:t>
      </w:r>
      <w:r w:rsidR="00421993" w:rsidRPr="00F147F4">
        <w:rPr>
          <w:rFonts w:ascii="Times New Roman" w:eastAsia="Times New Roman" w:hAnsi="Times New Roman" w:cs="Times New Roman"/>
          <w:b/>
          <w:color w:val="000000" w:themeColor="text1"/>
          <w:lang w:eastAsia="de-DE"/>
        </w:rPr>
        <w:t>plan</w:t>
      </w:r>
      <w:r w:rsidR="005B1F8D" w:rsidRPr="00F147F4">
        <w:rPr>
          <w:rFonts w:ascii="Times New Roman" w:eastAsia="Times New Roman" w:hAnsi="Times New Roman" w:cs="Times New Roman"/>
          <w:b/>
          <w:color w:val="000000" w:themeColor="text1"/>
          <w:lang w:eastAsia="de-DE"/>
        </w:rPr>
        <w:t xml:space="preserve"> to increase their use of ETFs in the future</w:t>
      </w:r>
      <w:r w:rsidR="005B1F8D" w:rsidRPr="00F147F4">
        <w:rPr>
          <w:rFonts w:ascii="Times New Roman" w:eastAsia="Times New Roman" w:hAnsi="Times New Roman" w:cs="Times New Roman"/>
          <w:color w:val="000000" w:themeColor="text1"/>
          <w:lang w:eastAsia="de-DE"/>
        </w:rPr>
        <w:t xml:space="preserve"> despite the already high maturity of this market and </w:t>
      </w:r>
      <w:r w:rsidRPr="00F147F4">
        <w:rPr>
          <w:rFonts w:ascii="Times New Roman" w:eastAsia="Times New Roman" w:hAnsi="Times New Roman" w:cs="Times New Roman"/>
          <w:color w:val="000000" w:themeColor="text1"/>
          <w:lang w:eastAsia="de-DE"/>
        </w:rPr>
        <w:t>high</w:t>
      </w:r>
      <w:r w:rsidR="005B1F8D" w:rsidRPr="00F147F4">
        <w:rPr>
          <w:rFonts w:ascii="Times New Roman" w:eastAsia="Times New Roman" w:hAnsi="Times New Roman" w:cs="Times New Roman"/>
          <w:color w:val="000000" w:themeColor="text1"/>
          <w:lang w:eastAsia="de-DE"/>
        </w:rPr>
        <w:t xml:space="preserve"> current adoption rates</w:t>
      </w:r>
      <w:r w:rsidR="00D66342" w:rsidRPr="00F147F4">
        <w:rPr>
          <w:rFonts w:ascii="Times New Roman" w:eastAsia="Times New Roman" w:hAnsi="Times New Roman" w:cs="Times New Roman"/>
          <w:color w:val="000000" w:themeColor="text1"/>
          <w:lang w:eastAsia="de-DE"/>
        </w:rPr>
        <w:t>.</w:t>
      </w:r>
      <w:r w:rsidR="00F66329" w:rsidRPr="00F147F4">
        <w:rPr>
          <w:rFonts w:ascii="Times New Roman" w:eastAsia="Times New Roman" w:hAnsi="Times New Roman" w:cs="Times New Roman"/>
          <w:color w:val="000000" w:themeColor="text1"/>
          <w:lang w:eastAsia="de-DE"/>
        </w:rPr>
        <w:t xml:space="preserve"> </w:t>
      </w:r>
      <w:r w:rsidR="00BD5A22" w:rsidRPr="00F147F4">
        <w:rPr>
          <w:rFonts w:ascii="Times New Roman" w:eastAsia="Times New Roman" w:hAnsi="Times New Roman" w:cs="Times New Roman"/>
          <w:color w:val="000000" w:themeColor="text1"/>
          <w:lang w:eastAsia="de-DE"/>
        </w:rPr>
        <w:t xml:space="preserve">Top concerns for the respondents </w:t>
      </w:r>
      <w:r w:rsidR="00D4037B" w:rsidRPr="00F147F4">
        <w:rPr>
          <w:rFonts w:ascii="Times New Roman" w:eastAsia="Times New Roman" w:hAnsi="Times New Roman" w:cs="Times New Roman"/>
          <w:color w:val="000000" w:themeColor="text1"/>
          <w:lang w:eastAsia="de-DE"/>
        </w:rPr>
        <w:t xml:space="preserve">are the </w:t>
      </w:r>
      <w:r w:rsidR="0028705F" w:rsidRPr="00F147F4">
        <w:rPr>
          <w:rFonts w:ascii="Times New Roman" w:eastAsia="Times New Roman" w:hAnsi="Times New Roman" w:cs="Times New Roman"/>
          <w:color w:val="000000" w:themeColor="text1"/>
          <w:lang w:eastAsia="de-DE"/>
        </w:rPr>
        <w:t xml:space="preserve">further </w:t>
      </w:r>
      <w:r w:rsidR="00D4037B" w:rsidRPr="00F147F4">
        <w:rPr>
          <w:rFonts w:ascii="Times New Roman" w:eastAsia="Times New Roman" w:hAnsi="Times New Roman" w:cs="Times New Roman"/>
          <w:color w:val="000000" w:themeColor="text1"/>
          <w:lang w:eastAsia="de-DE"/>
        </w:rPr>
        <w:t xml:space="preserve">developments of </w:t>
      </w:r>
      <w:r w:rsidR="0028705F" w:rsidRPr="00F147F4">
        <w:rPr>
          <w:rFonts w:ascii="Times New Roman" w:eastAsia="Times New Roman" w:hAnsi="Times New Roman" w:cs="Times New Roman"/>
          <w:b/>
          <w:color w:val="000000" w:themeColor="text1"/>
          <w:lang w:eastAsia="de-DE"/>
        </w:rPr>
        <w:t xml:space="preserve">Ethical / SRI ETFs, emerging market equity </w:t>
      </w:r>
      <w:r w:rsidR="00F66329" w:rsidRPr="00F147F4">
        <w:rPr>
          <w:rFonts w:ascii="Times New Roman" w:eastAsia="Times New Roman" w:hAnsi="Times New Roman" w:cs="Times New Roman"/>
          <w:b/>
          <w:color w:val="000000" w:themeColor="text1"/>
          <w:lang w:eastAsia="de-DE"/>
        </w:rPr>
        <w:t xml:space="preserve">and bond </w:t>
      </w:r>
      <w:r w:rsidR="0028705F" w:rsidRPr="00F147F4">
        <w:rPr>
          <w:rFonts w:ascii="Times New Roman" w:eastAsia="Times New Roman" w:hAnsi="Times New Roman" w:cs="Times New Roman"/>
          <w:b/>
          <w:color w:val="000000" w:themeColor="text1"/>
          <w:lang w:eastAsia="de-DE"/>
        </w:rPr>
        <w:t>ETFs</w:t>
      </w:r>
      <w:r w:rsidR="00F66329" w:rsidRPr="00F147F4">
        <w:rPr>
          <w:rFonts w:ascii="Times New Roman" w:eastAsia="Times New Roman" w:hAnsi="Times New Roman" w:cs="Times New Roman"/>
          <w:color w:val="000000" w:themeColor="text1"/>
          <w:lang w:eastAsia="de-DE"/>
        </w:rPr>
        <w:t xml:space="preserve"> and </w:t>
      </w:r>
      <w:r w:rsidR="00F66329" w:rsidRPr="00F147F4">
        <w:rPr>
          <w:rFonts w:ascii="Times New Roman" w:eastAsia="Times New Roman" w:hAnsi="Times New Roman" w:cs="Times New Roman"/>
          <w:b/>
          <w:color w:val="000000" w:themeColor="text1"/>
          <w:lang w:eastAsia="de-DE"/>
        </w:rPr>
        <w:t>Smart Beta ETFs</w:t>
      </w:r>
      <w:r w:rsidR="00F66329" w:rsidRPr="00F147F4">
        <w:rPr>
          <w:rFonts w:ascii="Times New Roman" w:eastAsia="Times New Roman" w:hAnsi="Times New Roman" w:cs="Times New Roman"/>
          <w:color w:val="000000" w:themeColor="text1"/>
          <w:lang w:eastAsia="de-DE"/>
        </w:rPr>
        <w:t>, including multi</w:t>
      </w:r>
      <w:r w:rsidR="00F147F4">
        <w:rPr>
          <w:rFonts w:ascii="Times New Roman" w:eastAsia="Times New Roman" w:hAnsi="Times New Roman" w:cs="Times New Roman"/>
          <w:color w:val="000000" w:themeColor="text1"/>
          <w:lang w:eastAsia="de-DE"/>
        </w:rPr>
        <w:t>-</w:t>
      </w:r>
      <w:r w:rsidR="00F66329" w:rsidRPr="00F147F4">
        <w:rPr>
          <w:rFonts w:ascii="Times New Roman" w:eastAsia="Times New Roman" w:hAnsi="Times New Roman" w:cs="Times New Roman"/>
          <w:color w:val="000000" w:themeColor="text1"/>
          <w:lang w:eastAsia="de-DE"/>
        </w:rPr>
        <w:t xml:space="preserve">factor and smart </w:t>
      </w:r>
      <w:r w:rsidR="00F147F4" w:rsidRPr="00F147F4">
        <w:rPr>
          <w:rFonts w:ascii="Times New Roman" w:eastAsia="Times New Roman" w:hAnsi="Times New Roman" w:cs="Times New Roman"/>
          <w:color w:val="000000" w:themeColor="text1"/>
          <w:lang w:eastAsia="de-DE"/>
        </w:rPr>
        <w:t xml:space="preserve">bond </w:t>
      </w:r>
      <w:r w:rsidR="00F66329" w:rsidRPr="00F147F4">
        <w:rPr>
          <w:rFonts w:ascii="Times New Roman" w:eastAsia="Times New Roman" w:hAnsi="Times New Roman" w:cs="Times New Roman"/>
          <w:color w:val="000000" w:themeColor="text1"/>
          <w:lang w:eastAsia="de-DE"/>
        </w:rPr>
        <w:t>indices.</w:t>
      </w:r>
    </w:p>
    <w:p w:rsidR="0030573D" w:rsidRPr="00F147F4" w:rsidRDefault="0030573D" w:rsidP="0030573D">
      <w:pPr>
        <w:pStyle w:val="ListParagraph"/>
        <w:rPr>
          <w:rFonts w:ascii="Times New Roman" w:eastAsia="Times New Roman" w:hAnsi="Times New Roman" w:cs="Times New Roman"/>
          <w:color w:val="000000" w:themeColor="text1"/>
          <w:lang w:eastAsia="de-DE"/>
        </w:rPr>
      </w:pPr>
    </w:p>
    <w:p w:rsidR="0030573D" w:rsidRPr="00F147F4" w:rsidRDefault="0030573D" w:rsidP="0030573D">
      <w:pPr>
        <w:spacing w:after="200" w:line="276" w:lineRule="auto"/>
        <w:rPr>
          <w:color w:val="000000" w:themeColor="text1"/>
          <w:lang w:eastAsia="de-DE"/>
        </w:rPr>
      </w:pPr>
    </w:p>
    <w:p w:rsidR="00DE2760" w:rsidRPr="00F147F4" w:rsidRDefault="00F66329" w:rsidP="00980A55">
      <w:pPr>
        <w:pStyle w:val="ListParagraph"/>
        <w:numPr>
          <w:ilvl w:val="0"/>
          <w:numId w:val="21"/>
        </w:numPr>
        <w:tabs>
          <w:tab w:val="clear" w:pos="709"/>
        </w:tabs>
        <w:spacing w:after="0" w:line="280" w:lineRule="atLeast"/>
        <w:contextualSpacing w:val="0"/>
        <w:rPr>
          <w:rFonts w:ascii="Times New Roman" w:eastAsia="Times New Roman" w:hAnsi="Times New Roman" w:cs="Times New Roman"/>
          <w:color w:val="000000" w:themeColor="text1"/>
          <w:lang w:eastAsia="de-DE"/>
        </w:rPr>
      </w:pPr>
      <w:r w:rsidRPr="00F147F4">
        <w:rPr>
          <w:rFonts w:ascii="Times New Roman" w:hAnsi="Times New Roman" w:cs="Times New Roman"/>
          <w:b/>
          <w:color w:val="000000" w:themeColor="text1"/>
          <w:lang w:eastAsia="de-DE"/>
        </w:rPr>
        <w:lastRenderedPageBreak/>
        <w:t xml:space="preserve">Respondents show a significant interest for </w:t>
      </w:r>
      <w:r w:rsidR="00285781" w:rsidRPr="00F147F4">
        <w:rPr>
          <w:rFonts w:ascii="Times New Roman" w:hAnsi="Times New Roman" w:cs="Times New Roman"/>
          <w:b/>
          <w:color w:val="000000" w:themeColor="text1"/>
          <w:lang w:eastAsia="de-DE"/>
        </w:rPr>
        <w:t xml:space="preserve">Fixed Income </w:t>
      </w:r>
      <w:r w:rsidRPr="00F147F4">
        <w:rPr>
          <w:rFonts w:ascii="Times New Roman" w:hAnsi="Times New Roman" w:cs="Times New Roman"/>
          <w:b/>
          <w:color w:val="000000" w:themeColor="text1"/>
          <w:lang w:eastAsia="de-DE"/>
        </w:rPr>
        <w:t xml:space="preserve">Smart Beta </w:t>
      </w:r>
      <w:r w:rsidR="00285781" w:rsidRPr="00F147F4">
        <w:rPr>
          <w:rFonts w:ascii="Times New Roman" w:hAnsi="Times New Roman" w:cs="Times New Roman"/>
          <w:b/>
          <w:color w:val="000000" w:themeColor="text1"/>
          <w:lang w:eastAsia="de-DE"/>
        </w:rPr>
        <w:t>solutions</w:t>
      </w:r>
      <w:r w:rsidRPr="00F147F4">
        <w:rPr>
          <w:rFonts w:ascii="Times New Roman" w:hAnsi="Times New Roman" w:cs="Times New Roman"/>
          <w:b/>
          <w:color w:val="000000" w:themeColor="text1"/>
          <w:lang w:eastAsia="de-DE"/>
        </w:rPr>
        <w:t xml:space="preserve"> and plan to increase their investment in it</w:t>
      </w:r>
      <w:r w:rsidR="00F147F4">
        <w:rPr>
          <w:rFonts w:ascii="Times New Roman" w:hAnsi="Times New Roman" w:cs="Times New Roman"/>
          <w:b/>
          <w:color w:val="000000" w:themeColor="text1"/>
          <w:lang w:eastAsia="de-DE"/>
        </w:rPr>
        <w:t>,</w:t>
      </w:r>
      <w:r w:rsidRPr="00F147F4">
        <w:rPr>
          <w:rFonts w:ascii="Times New Roman" w:hAnsi="Times New Roman" w:cs="Times New Roman"/>
          <w:b/>
          <w:color w:val="000000" w:themeColor="text1"/>
          <w:lang w:eastAsia="de-DE"/>
        </w:rPr>
        <w:t xml:space="preserve"> but </w:t>
      </w:r>
      <w:r w:rsidR="00F147F4">
        <w:rPr>
          <w:rFonts w:ascii="Times New Roman" w:hAnsi="Times New Roman" w:cs="Times New Roman"/>
          <w:b/>
          <w:color w:val="000000" w:themeColor="text1"/>
          <w:lang w:eastAsia="de-DE"/>
        </w:rPr>
        <w:t xml:space="preserve">they do not </w:t>
      </w:r>
      <w:r w:rsidRPr="00F147F4">
        <w:rPr>
          <w:rFonts w:ascii="Times New Roman" w:hAnsi="Times New Roman" w:cs="Times New Roman"/>
          <w:b/>
          <w:color w:val="000000" w:themeColor="text1"/>
          <w:lang w:eastAsia="de-DE"/>
        </w:rPr>
        <w:t xml:space="preserve">consider there </w:t>
      </w:r>
      <w:r w:rsidR="00F147F4">
        <w:rPr>
          <w:rFonts w:ascii="Times New Roman" w:hAnsi="Times New Roman" w:cs="Times New Roman"/>
          <w:b/>
          <w:color w:val="000000" w:themeColor="text1"/>
          <w:lang w:eastAsia="de-DE"/>
        </w:rPr>
        <w:t xml:space="preserve">to be </w:t>
      </w:r>
      <w:r w:rsidRPr="00F147F4">
        <w:rPr>
          <w:rFonts w:ascii="Times New Roman" w:hAnsi="Times New Roman" w:cs="Times New Roman"/>
          <w:b/>
          <w:color w:val="000000" w:themeColor="text1"/>
          <w:lang w:eastAsia="de-DE"/>
        </w:rPr>
        <w:t xml:space="preserve">enough research in the area. </w:t>
      </w:r>
      <w:r w:rsidR="00015EC6" w:rsidRPr="00F147F4">
        <w:rPr>
          <w:rFonts w:ascii="Times New Roman" w:eastAsia="Times New Roman" w:hAnsi="Times New Roman" w:cs="Times New Roman"/>
          <w:color w:val="000000" w:themeColor="text1"/>
          <w:lang w:eastAsia="de-DE"/>
        </w:rPr>
        <w:t xml:space="preserve">The development of new products corresponding to these demands may lead to an even wider adoption of </w:t>
      </w:r>
      <w:r w:rsidR="00AB78E1">
        <w:rPr>
          <w:rFonts w:ascii="Times New Roman" w:eastAsia="Times New Roman" w:hAnsi="Times New Roman" w:cs="Times New Roman"/>
          <w:color w:val="000000" w:themeColor="text1"/>
          <w:lang w:eastAsia="de-DE"/>
        </w:rPr>
        <w:t>S</w:t>
      </w:r>
      <w:r w:rsidR="00015EC6" w:rsidRPr="00F147F4">
        <w:rPr>
          <w:rFonts w:ascii="Times New Roman" w:eastAsia="Times New Roman" w:hAnsi="Times New Roman" w:cs="Times New Roman"/>
          <w:color w:val="000000" w:themeColor="text1"/>
          <w:lang w:eastAsia="de-DE"/>
        </w:rPr>
        <w:t xml:space="preserve">mart </w:t>
      </w:r>
      <w:r w:rsidR="00AB78E1">
        <w:rPr>
          <w:rFonts w:ascii="Times New Roman" w:eastAsia="Times New Roman" w:hAnsi="Times New Roman" w:cs="Times New Roman"/>
          <w:color w:val="000000" w:themeColor="text1"/>
          <w:lang w:eastAsia="de-DE"/>
        </w:rPr>
        <w:t>B</w:t>
      </w:r>
      <w:r w:rsidR="00015EC6" w:rsidRPr="00F147F4">
        <w:rPr>
          <w:rFonts w:ascii="Times New Roman" w:eastAsia="Times New Roman" w:hAnsi="Times New Roman" w:cs="Times New Roman"/>
          <w:color w:val="000000" w:themeColor="text1"/>
          <w:lang w:eastAsia="de-DE"/>
        </w:rPr>
        <w:t>eta solutions.</w:t>
      </w:r>
    </w:p>
    <w:p w:rsidR="0038022E" w:rsidRPr="00F147F4" w:rsidRDefault="0038022E" w:rsidP="00980A55">
      <w:pPr>
        <w:spacing w:after="200" w:line="276" w:lineRule="auto"/>
        <w:rPr>
          <w:color w:val="000000" w:themeColor="text1"/>
          <w:lang w:eastAsia="de-DE"/>
        </w:rPr>
      </w:pPr>
    </w:p>
    <w:p w:rsidR="006432AE" w:rsidRDefault="00CF7793">
      <w:pPr>
        <w:jc w:val="both"/>
        <w:rPr>
          <w:i/>
          <w:iCs/>
          <w:color w:val="000000"/>
          <w:shd w:val="clear" w:color="auto" w:fill="FFFFFF"/>
        </w:rPr>
      </w:pPr>
      <w:r w:rsidRPr="00F147F4">
        <w:rPr>
          <w:sz w:val="22"/>
          <w:szCs w:val="22"/>
          <w:lang w:eastAsia="de-DE"/>
        </w:rPr>
        <w:t>Commenting</w:t>
      </w:r>
      <w:r w:rsidR="00063123" w:rsidRPr="00F147F4">
        <w:rPr>
          <w:sz w:val="22"/>
          <w:szCs w:val="22"/>
          <w:lang w:eastAsia="de-DE"/>
        </w:rPr>
        <w:t xml:space="preserve"> on the results of the survey, Fannie Wurtz, Managing Director </w:t>
      </w:r>
      <w:r w:rsidR="0041298C" w:rsidRPr="00F147F4">
        <w:rPr>
          <w:sz w:val="22"/>
          <w:szCs w:val="22"/>
          <w:lang w:eastAsia="de-DE"/>
        </w:rPr>
        <w:t xml:space="preserve">at </w:t>
      </w:r>
      <w:r w:rsidR="00063123" w:rsidRPr="00F147F4">
        <w:rPr>
          <w:sz w:val="22"/>
          <w:szCs w:val="22"/>
          <w:lang w:eastAsia="de-DE"/>
        </w:rPr>
        <w:t>Amundi ETF, Indexing &amp; Smart Beta</w:t>
      </w:r>
      <w:r w:rsidRPr="00F147F4">
        <w:rPr>
          <w:sz w:val="22"/>
          <w:szCs w:val="22"/>
          <w:lang w:eastAsia="de-DE"/>
        </w:rPr>
        <w:t>, said,</w:t>
      </w:r>
      <w:r w:rsidR="0041298C" w:rsidRPr="00F147F4">
        <w:rPr>
          <w:sz w:val="22"/>
          <w:szCs w:val="22"/>
          <w:lang w:eastAsia="de-DE"/>
        </w:rPr>
        <w:t xml:space="preserve"> </w:t>
      </w:r>
      <w:r w:rsidR="00B37FB4" w:rsidRPr="00F147F4">
        <w:rPr>
          <w:sz w:val="22"/>
          <w:szCs w:val="22"/>
          <w:lang w:eastAsia="de-DE"/>
        </w:rPr>
        <w:t>“</w:t>
      </w:r>
      <w:r w:rsidR="004D6DEF" w:rsidRPr="00F147F4">
        <w:rPr>
          <w:sz w:val="22"/>
          <w:szCs w:val="22"/>
          <w:lang w:eastAsia="de-DE"/>
        </w:rPr>
        <w:t>ETFs are now broadly used and recogni</w:t>
      </w:r>
      <w:r w:rsidR="00F147F4">
        <w:rPr>
          <w:sz w:val="22"/>
          <w:szCs w:val="22"/>
          <w:lang w:eastAsia="de-DE"/>
        </w:rPr>
        <w:t>s</w:t>
      </w:r>
      <w:r w:rsidR="004D6DEF" w:rsidRPr="00F147F4">
        <w:rPr>
          <w:sz w:val="22"/>
          <w:szCs w:val="22"/>
          <w:lang w:eastAsia="de-DE"/>
        </w:rPr>
        <w:t xml:space="preserve">ed as a genuine asset allocation tool, in all asset classes, as shown in this new edition of the EDHEC-Risk Institute Survey. The rising adoption in the Smart Beta and Factor field implies new challenges for asset managers, to design the right solutions that meet allocation needs, notably in fixed income factor investing field. In that context, </w:t>
      </w:r>
      <w:r w:rsidR="00F40AD0" w:rsidRPr="00F147F4">
        <w:rPr>
          <w:sz w:val="22"/>
          <w:szCs w:val="22"/>
          <w:lang w:eastAsia="de-DE"/>
        </w:rPr>
        <w:t>Amundi will</w:t>
      </w:r>
      <w:r w:rsidR="004D6DEF" w:rsidRPr="00F147F4">
        <w:rPr>
          <w:sz w:val="22"/>
          <w:szCs w:val="22"/>
          <w:lang w:eastAsia="de-DE"/>
        </w:rPr>
        <w:t xml:space="preserve"> keep on mobili</w:t>
      </w:r>
      <w:r w:rsidR="00F147F4">
        <w:rPr>
          <w:sz w:val="22"/>
          <w:szCs w:val="22"/>
          <w:lang w:eastAsia="de-DE"/>
        </w:rPr>
        <w:t>s</w:t>
      </w:r>
      <w:r w:rsidR="004D6DEF" w:rsidRPr="00F147F4">
        <w:rPr>
          <w:sz w:val="22"/>
          <w:szCs w:val="22"/>
          <w:lang w:eastAsia="de-DE"/>
        </w:rPr>
        <w:t>ing the Group’s capacity to deepen its offering and relationships with investors”</w:t>
      </w:r>
      <w:r w:rsidR="0021201E" w:rsidRPr="00F147F4">
        <w:rPr>
          <w:sz w:val="22"/>
          <w:szCs w:val="22"/>
          <w:lang w:eastAsia="de-DE"/>
        </w:rPr>
        <w:t>.</w:t>
      </w:r>
      <w:r w:rsidR="00980A55" w:rsidRPr="00F147F4">
        <w:rPr>
          <w:sz w:val="22"/>
          <w:szCs w:val="22"/>
          <w:lang w:eastAsia="de-DE"/>
        </w:rPr>
        <w:t xml:space="preserve"> </w:t>
      </w:r>
    </w:p>
    <w:p w:rsidR="00F40AD0" w:rsidRPr="00F147F4" w:rsidRDefault="00F40AD0" w:rsidP="00783A46">
      <w:pPr>
        <w:spacing w:line="280" w:lineRule="atLeast"/>
        <w:jc w:val="both"/>
        <w:rPr>
          <w:snapToGrid w:val="0"/>
          <w:sz w:val="22"/>
          <w:szCs w:val="22"/>
        </w:rPr>
      </w:pPr>
    </w:p>
    <w:p w:rsidR="00614EBF" w:rsidRPr="00F147F4" w:rsidRDefault="00BD6046" w:rsidP="00783A46">
      <w:pPr>
        <w:spacing w:line="280" w:lineRule="atLeast"/>
        <w:jc w:val="both"/>
        <w:rPr>
          <w:snapToGrid w:val="0"/>
          <w:sz w:val="22"/>
          <w:szCs w:val="22"/>
        </w:rPr>
      </w:pPr>
      <w:r w:rsidRPr="00F147F4">
        <w:rPr>
          <w:snapToGrid w:val="0"/>
          <w:sz w:val="22"/>
          <w:szCs w:val="22"/>
        </w:rPr>
        <w:t>Professor Lionel Martellini, Director of EDHEC-Risk Institute, added, “</w:t>
      </w:r>
      <w:r w:rsidR="00AE47B0" w:rsidRPr="00F147F4">
        <w:rPr>
          <w:snapToGrid w:val="0"/>
          <w:sz w:val="22"/>
          <w:szCs w:val="22"/>
        </w:rPr>
        <w:t>ETFs are increasingly regarded by institutional asset owners as key investment vehicles in the implementation of strategic asset and factor allocation decisions. The new frontier now is the development of meaningful smart factor investment solutions in the fixed</w:t>
      </w:r>
      <w:r w:rsidR="00AB78E1">
        <w:rPr>
          <w:snapToGrid w:val="0"/>
          <w:sz w:val="22"/>
          <w:szCs w:val="22"/>
        </w:rPr>
        <w:t xml:space="preserve"> </w:t>
      </w:r>
      <w:r w:rsidR="00AE47B0" w:rsidRPr="00F147F4">
        <w:rPr>
          <w:snapToGrid w:val="0"/>
          <w:sz w:val="22"/>
          <w:szCs w:val="22"/>
        </w:rPr>
        <w:t>income space. More academic research is needed in this area, which has become one of the main areas of focus for EDHEC-Risk Institute</w:t>
      </w:r>
      <w:r w:rsidR="00614EBF" w:rsidRPr="00F147F4">
        <w:rPr>
          <w:snapToGrid w:val="0"/>
          <w:sz w:val="22"/>
          <w:szCs w:val="22"/>
        </w:rPr>
        <w:t>”</w:t>
      </w:r>
      <w:r w:rsidR="00F147F4">
        <w:rPr>
          <w:snapToGrid w:val="0"/>
          <w:sz w:val="22"/>
          <w:szCs w:val="22"/>
        </w:rPr>
        <w:t>.</w:t>
      </w:r>
    </w:p>
    <w:p w:rsidR="00614EBF" w:rsidRPr="00F147F4" w:rsidRDefault="00614EBF" w:rsidP="00783A46">
      <w:pPr>
        <w:spacing w:line="280" w:lineRule="atLeast"/>
        <w:jc w:val="both"/>
        <w:rPr>
          <w:snapToGrid w:val="0"/>
          <w:color w:val="000000"/>
          <w:sz w:val="22"/>
          <w:szCs w:val="22"/>
        </w:rPr>
      </w:pPr>
      <w:r w:rsidRPr="00F147F4">
        <w:rPr>
          <w:snapToGrid w:val="0"/>
          <w:color w:val="000000"/>
          <w:sz w:val="22"/>
          <w:szCs w:val="22"/>
        </w:rPr>
        <w:t xml:space="preserve"> </w:t>
      </w:r>
    </w:p>
    <w:p w:rsidR="00F40D60" w:rsidRPr="00F147F4" w:rsidRDefault="00F40D60" w:rsidP="00BC6E06">
      <w:pPr>
        <w:spacing w:line="280" w:lineRule="atLeast"/>
        <w:jc w:val="both"/>
        <w:rPr>
          <w:snapToGrid w:val="0"/>
          <w:color w:val="000000"/>
          <w:sz w:val="22"/>
          <w:szCs w:val="22"/>
        </w:rPr>
      </w:pPr>
      <w:r w:rsidRPr="00F147F4">
        <w:rPr>
          <w:snapToGrid w:val="0"/>
          <w:color w:val="000000"/>
          <w:sz w:val="22"/>
          <w:szCs w:val="22"/>
        </w:rPr>
        <w:t>A copy of the EDHEC-Risk Institute survey can be found here:</w:t>
      </w:r>
    </w:p>
    <w:p w:rsidR="00BC2CF3" w:rsidRPr="00F147F4" w:rsidRDefault="00BC2CF3" w:rsidP="00F40D60">
      <w:pPr>
        <w:autoSpaceDE w:val="0"/>
        <w:autoSpaceDN w:val="0"/>
        <w:adjustRightInd w:val="0"/>
        <w:jc w:val="both"/>
        <w:rPr>
          <w:sz w:val="22"/>
          <w:szCs w:val="22"/>
        </w:rPr>
      </w:pPr>
    </w:p>
    <w:p w:rsidR="00BC2CF3" w:rsidRPr="00F147F4" w:rsidRDefault="006432AE" w:rsidP="00F40D60">
      <w:pPr>
        <w:autoSpaceDE w:val="0"/>
        <w:autoSpaceDN w:val="0"/>
        <w:adjustRightInd w:val="0"/>
        <w:jc w:val="both"/>
      </w:pPr>
      <w:hyperlink r:id="rId9" w:history="1">
        <w:r w:rsidR="00CB7392" w:rsidRPr="00F147F4">
          <w:rPr>
            <w:rStyle w:val="Hyperlink"/>
            <w:sz w:val="22"/>
            <w:szCs w:val="22"/>
          </w:rPr>
          <w:t>EDHEC-Risk Institute Publication EDHEC European ETF and Smart Beta and Factor Investing Survey 2018</w:t>
        </w:r>
      </w:hyperlink>
    </w:p>
    <w:p w:rsidR="003E169C" w:rsidRPr="00F147F4" w:rsidRDefault="003E169C" w:rsidP="00F40D60">
      <w:pPr>
        <w:autoSpaceDE w:val="0"/>
        <w:autoSpaceDN w:val="0"/>
        <w:adjustRightInd w:val="0"/>
        <w:jc w:val="both"/>
      </w:pPr>
    </w:p>
    <w:p w:rsidR="003E169C" w:rsidRPr="00F147F4" w:rsidRDefault="003E169C" w:rsidP="003E169C">
      <w:pPr>
        <w:autoSpaceDE w:val="0"/>
        <w:autoSpaceDN w:val="0"/>
        <w:adjustRightInd w:val="0"/>
        <w:spacing w:line="280" w:lineRule="atLeast"/>
        <w:jc w:val="both"/>
        <w:rPr>
          <w:b/>
          <w:sz w:val="22"/>
          <w:szCs w:val="22"/>
        </w:rPr>
      </w:pPr>
      <w:r w:rsidRPr="00F147F4">
        <w:rPr>
          <w:b/>
          <w:sz w:val="22"/>
          <w:szCs w:val="22"/>
        </w:rPr>
        <w:t>This research was supported by Amundi as part of the research chair at EDHEC-Risk Institute on “ETF, Indexing and Smart Beta Investment Strategies”</w:t>
      </w:r>
      <w:r w:rsidR="00F147F4">
        <w:rPr>
          <w:b/>
          <w:sz w:val="22"/>
          <w:szCs w:val="22"/>
        </w:rPr>
        <w:t>.</w:t>
      </w:r>
    </w:p>
    <w:p w:rsidR="003E169C" w:rsidRPr="00F147F4" w:rsidRDefault="003E169C" w:rsidP="00F40D60">
      <w:pPr>
        <w:autoSpaceDE w:val="0"/>
        <w:autoSpaceDN w:val="0"/>
        <w:adjustRightInd w:val="0"/>
        <w:jc w:val="both"/>
        <w:rPr>
          <w:sz w:val="22"/>
          <w:szCs w:val="22"/>
        </w:rPr>
      </w:pPr>
    </w:p>
    <w:p w:rsidR="00FB3378" w:rsidRPr="00F147F4" w:rsidRDefault="00FB3378" w:rsidP="00F40D60">
      <w:pPr>
        <w:autoSpaceDE w:val="0"/>
        <w:autoSpaceDN w:val="0"/>
        <w:adjustRightInd w:val="0"/>
        <w:jc w:val="both"/>
        <w:rPr>
          <w:sz w:val="22"/>
          <w:szCs w:val="22"/>
        </w:rPr>
      </w:pPr>
    </w:p>
    <w:p w:rsidR="00BC5F44" w:rsidRPr="00F147F4" w:rsidRDefault="006432AE" w:rsidP="00BC5F44">
      <w:pPr>
        <w:autoSpaceDE w:val="0"/>
        <w:autoSpaceDN w:val="0"/>
        <w:adjustRightInd w:val="0"/>
        <w:jc w:val="both"/>
        <w:rPr>
          <w:snapToGrid w:val="0"/>
          <w:color w:val="000000"/>
          <w:sz w:val="22"/>
          <w:szCs w:val="22"/>
        </w:rPr>
      </w:pPr>
      <w:r w:rsidRPr="006432AE">
        <w:rPr>
          <w:color w:val="000000"/>
          <w:sz w:val="22"/>
          <w:szCs w:val="22"/>
          <w:lang w:eastAsia="en-GB"/>
        </w:rPr>
        <w:pict>
          <v:group id="Group 30" o:spid="_x0000_s1026" style="position:absolute;left:0;text-align:left;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5kvgAAANoAAAAPAAAAZHJzL2Rvd25yZXYueG1sRE/LisIw&#10;FN0P+A/hCu7GVIU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Lq7fmS+AAAA2gAAAA8AAAAAAAAA&#10;AAAAAAAABwIAAGRycy9kb3ducmV2LnhtbFBLBQYAAAAAAwADALcAAADyAgAAAAA=&#10;">
              <v:imagedata r:id="rId10" o:title="edhec logo press release 3"/>
            </v:shape>
          </v:group>
        </w:pict>
      </w:r>
    </w:p>
    <w:p w:rsidR="003E169C" w:rsidRPr="00F147F4" w:rsidRDefault="003E169C" w:rsidP="003E169C">
      <w:pPr>
        <w:tabs>
          <w:tab w:val="left" w:pos="3240"/>
        </w:tabs>
        <w:spacing w:line="280" w:lineRule="atLeast"/>
        <w:ind w:left="1622"/>
        <w:jc w:val="both"/>
        <w:rPr>
          <w:b/>
          <w:bCs/>
          <w:color w:val="800000"/>
          <w:sz w:val="22"/>
          <w:szCs w:val="22"/>
        </w:rPr>
      </w:pPr>
      <w:r w:rsidRPr="00F147F4">
        <w:rPr>
          <w:b/>
          <w:bCs/>
          <w:color w:val="800000"/>
          <w:sz w:val="22"/>
          <w:szCs w:val="22"/>
        </w:rPr>
        <w:t>Contact:</w:t>
      </w:r>
    </w:p>
    <w:p w:rsidR="003E169C" w:rsidRPr="00F147F4" w:rsidRDefault="003E169C" w:rsidP="003E169C">
      <w:pPr>
        <w:tabs>
          <w:tab w:val="left" w:pos="3240"/>
        </w:tabs>
        <w:spacing w:line="280" w:lineRule="atLeast"/>
        <w:ind w:left="1620"/>
        <w:jc w:val="both"/>
        <w:rPr>
          <w:b/>
          <w:bCs/>
          <w:sz w:val="22"/>
          <w:szCs w:val="22"/>
        </w:rPr>
      </w:pPr>
      <w:r w:rsidRPr="00F147F4">
        <w:rPr>
          <w:sz w:val="22"/>
          <w:szCs w:val="22"/>
        </w:rPr>
        <w:t xml:space="preserve">For more information, please contact: </w:t>
      </w:r>
      <w:r w:rsidRPr="00F147F4">
        <w:rPr>
          <w:b/>
          <w:bCs/>
          <w:sz w:val="22"/>
          <w:szCs w:val="22"/>
        </w:rPr>
        <w:t>Maud Gauchon</w:t>
      </w:r>
    </w:p>
    <w:p w:rsidR="003E169C" w:rsidRPr="00B32671" w:rsidRDefault="003E169C" w:rsidP="003E169C">
      <w:pPr>
        <w:tabs>
          <w:tab w:val="left" w:pos="3240"/>
        </w:tabs>
        <w:spacing w:line="280" w:lineRule="atLeast"/>
        <w:ind w:left="1620"/>
        <w:jc w:val="both"/>
        <w:rPr>
          <w:sz w:val="22"/>
          <w:szCs w:val="22"/>
          <w:lang w:val="fr-FR"/>
        </w:rPr>
      </w:pPr>
      <w:r w:rsidRPr="00B32671">
        <w:rPr>
          <w:sz w:val="22"/>
          <w:szCs w:val="22"/>
          <w:lang w:val="fr-FR"/>
        </w:rPr>
        <w:t xml:space="preserve">Tel.: </w:t>
      </w:r>
      <w:r w:rsidRPr="00B32671">
        <w:rPr>
          <w:b/>
          <w:bCs/>
          <w:sz w:val="22"/>
          <w:szCs w:val="22"/>
          <w:lang w:val="fr-FR"/>
        </w:rPr>
        <w:t>+33 493 187 887</w:t>
      </w:r>
      <w:r w:rsidRPr="00B32671">
        <w:rPr>
          <w:sz w:val="22"/>
          <w:szCs w:val="22"/>
          <w:lang w:val="fr-FR"/>
        </w:rPr>
        <w:t xml:space="preserve"> – E-mail: </w:t>
      </w:r>
      <w:hyperlink r:id="rId11" w:history="1">
        <w:r w:rsidRPr="00B32671">
          <w:rPr>
            <w:rStyle w:val="Hyperlink"/>
            <w:rFonts w:eastAsia="SimSun"/>
            <w:sz w:val="22"/>
            <w:szCs w:val="22"/>
            <w:lang w:val="fr-FR"/>
          </w:rPr>
          <w:t>maud.gauchon@edhec-risk.com</w:t>
        </w:r>
      </w:hyperlink>
    </w:p>
    <w:p w:rsidR="003E169C" w:rsidRPr="00F147F4" w:rsidRDefault="003E169C" w:rsidP="003E169C">
      <w:pPr>
        <w:tabs>
          <w:tab w:val="left" w:pos="3240"/>
        </w:tabs>
        <w:spacing w:line="280" w:lineRule="atLeast"/>
        <w:ind w:left="1620"/>
      </w:pPr>
      <w:r w:rsidRPr="00F147F4">
        <w:rPr>
          <w:sz w:val="22"/>
          <w:szCs w:val="22"/>
        </w:rPr>
        <w:t xml:space="preserve">To visit our web site: </w:t>
      </w:r>
      <w:hyperlink r:id="rId12" w:history="1">
        <w:r w:rsidRPr="00F147F4">
          <w:rPr>
            <w:rStyle w:val="Hyperlink"/>
            <w:rFonts w:eastAsia="SimSun"/>
            <w:sz w:val="22"/>
            <w:szCs w:val="22"/>
          </w:rPr>
          <w:t>www.edhec-risk.com</w:t>
        </w:r>
      </w:hyperlink>
    </w:p>
    <w:p w:rsidR="00597412" w:rsidRPr="00F147F4" w:rsidRDefault="00597412" w:rsidP="00FD5C45">
      <w:pPr>
        <w:spacing w:line="360" w:lineRule="auto"/>
        <w:jc w:val="both"/>
        <w:rPr>
          <w:b/>
          <w:bCs/>
          <w:sz w:val="28"/>
          <w:szCs w:val="28"/>
        </w:rPr>
      </w:pPr>
    </w:p>
    <w:p w:rsidR="001C6D75" w:rsidRPr="00F147F4" w:rsidRDefault="001C6D75" w:rsidP="00121FCC">
      <w:pPr>
        <w:spacing w:line="360" w:lineRule="auto"/>
        <w:jc w:val="both"/>
        <w:rPr>
          <w:b/>
          <w:bCs/>
          <w:sz w:val="28"/>
          <w:szCs w:val="28"/>
        </w:rPr>
      </w:pPr>
    </w:p>
    <w:p w:rsidR="002B5E8C" w:rsidRPr="00F147F4" w:rsidRDefault="002B5E8C" w:rsidP="002B5E8C">
      <w:pPr>
        <w:spacing w:line="360" w:lineRule="auto"/>
        <w:jc w:val="both"/>
        <w:rPr>
          <w:b/>
          <w:bCs/>
          <w:sz w:val="28"/>
          <w:szCs w:val="28"/>
        </w:rPr>
      </w:pPr>
      <w:r w:rsidRPr="00F147F4">
        <w:rPr>
          <w:b/>
          <w:bCs/>
          <w:sz w:val="28"/>
          <w:szCs w:val="28"/>
        </w:rPr>
        <w:t>About EDHEC-Risk Institute</w:t>
      </w:r>
    </w:p>
    <w:p w:rsidR="002B5E8C" w:rsidRPr="00F147F4" w:rsidRDefault="002B5E8C" w:rsidP="002B5E8C">
      <w:pPr>
        <w:spacing w:line="360" w:lineRule="auto"/>
        <w:jc w:val="both"/>
        <w:rPr>
          <w:b/>
          <w:bCs/>
          <w:sz w:val="22"/>
          <w:szCs w:val="22"/>
        </w:rPr>
      </w:pPr>
      <w:r w:rsidRPr="00F147F4">
        <w:rPr>
          <w:b/>
          <w:bCs/>
          <w:sz w:val="22"/>
          <w:szCs w:val="22"/>
        </w:rPr>
        <w:t>Academic Roots &amp; Practitioner Reach</w:t>
      </w:r>
    </w:p>
    <w:p w:rsidR="002B5E8C" w:rsidRPr="00F147F4" w:rsidRDefault="002B5E8C" w:rsidP="002B5E8C">
      <w:pPr>
        <w:spacing w:line="280" w:lineRule="atLeast"/>
        <w:jc w:val="both"/>
        <w:rPr>
          <w:rFonts w:cs="Arial"/>
          <w:sz w:val="22"/>
          <w:szCs w:val="22"/>
        </w:rPr>
      </w:pPr>
    </w:p>
    <w:p w:rsidR="002B5E8C" w:rsidRPr="00F147F4" w:rsidRDefault="002B5E8C" w:rsidP="002B5E8C">
      <w:pPr>
        <w:spacing w:line="280" w:lineRule="atLeast"/>
        <w:jc w:val="both"/>
        <w:rPr>
          <w:rFonts w:cs="Arial"/>
          <w:sz w:val="22"/>
          <w:szCs w:val="22"/>
        </w:rPr>
      </w:pPr>
      <w:r w:rsidRPr="00F147F4">
        <w:rPr>
          <w:rFonts w:cs="Arial"/>
          <w:sz w:val="22"/>
          <w:szCs w:val="22"/>
        </w:rPr>
        <w:t>Since 2001, EDHEC Business School has been pursuing an ambitious policy in terms of practically relevant academic research. This policy, known as “Research for Business”</w:t>
      </w:r>
      <w:r w:rsidRPr="00F147F4">
        <w:t xml:space="preserve"> </w:t>
      </w:r>
      <w:r w:rsidRPr="00F147F4">
        <w:rPr>
          <w:rFonts w:cs="Arial"/>
          <w:sz w:val="22"/>
          <w:szCs w:val="22"/>
        </w:rPr>
        <w:t>and now labelled “Make an Impact”, aims to make EDHEC an academic institution of reference for the industry in a small number of areas in which the school has reached critical mass in terms of expertise and research results. Among these areas, investment management has occupied a privileged position, leading to the creation in 2001 of EDHEC-Risk Institute, which has developed an ambitious portfolio of research and educational initiatives in the domain of investment solutions for institutional and individual investors.</w:t>
      </w:r>
    </w:p>
    <w:p w:rsidR="002B5E8C" w:rsidRPr="00F147F4" w:rsidRDefault="002B5E8C" w:rsidP="002B5E8C">
      <w:pPr>
        <w:spacing w:line="280" w:lineRule="atLeast"/>
        <w:jc w:val="both"/>
        <w:rPr>
          <w:rFonts w:cs="Arial"/>
          <w:sz w:val="22"/>
          <w:szCs w:val="22"/>
        </w:rPr>
      </w:pPr>
    </w:p>
    <w:p w:rsidR="002B5E8C" w:rsidRPr="00F147F4" w:rsidRDefault="002B5E8C" w:rsidP="002B5E8C">
      <w:pPr>
        <w:jc w:val="both"/>
        <w:rPr>
          <w:snapToGrid w:val="0"/>
          <w:sz w:val="22"/>
          <w:szCs w:val="22"/>
        </w:rPr>
      </w:pPr>
      <w:r w:rsidRPr="00F147F4">
        <w:rPr>
          <w:rFonts w:cs="Arial"/>
          <w:sz w:val="22"/>
          <w:szCs w:val="22"/>
        </w:rPr>
        <w:t xml:space="preserve">This Institute boasts a team of permanent professors, engineers and support staff, and counts a large number of affiliate professors and research associates from the financial industry among its ranks. EDHEC-Risk Institute is located at campuses </w:t>
      </w:r>
      <w:r w:rsidRPr="00F147F4">
        <w:rPr>
          <w:snapToGrid w:val="0"/>
          <w:sz w:val="22"/>
          <w:szCs w:val="22"/>
        </w:rPr>
        <w:t xml:space="preserve">in the City of London (United Kingdom) and Nice, </w:t>
      </w:r>
      <w:r w:rsidRPr="00F147F4">
        <w:rPr>
          <w:snapToGrid w:val="0"/>
          <w:sz w:val="22"/>
          <w:szCs w:val="22"/>
        </w:rPr>
        <w:lastRenderedPageBreak/>
        <w:t>(France)</w:t>
      </w:r>
      <w:r w:rsidRPr="00F147F4">
        <w:rPr>
          <w:rFonts w:cs="Arial"/>
          <w:sz w:val="22"/>
          <w:szCs w:val="22"/>
        </w:rPr>
        <w:t xml:space="preserve">. </w:t>
      </w:r>
      <w:r w:rsidRPr="00F147F4">
        <w:rPr>
          <w:snapToGrid w:val="0"/>
          <w:sz w:val="22"/>
          <w:szCs w:val="22"/>
        </w:rPr>
        <w:t>The philosophy of the Institute is to validate its work by publication in international academic journals, as well as to make it available to the sector through its position papers, published studies and global conferences.</w:t>
      </w:r>
    </w:p>
    <w:p w:rsidR="002B5E8C" w:rsidRPr="00F147F4" w:rsidRDefault="002B5E8C" w:rsidP="002B5E8C">
      <w:pPr>
        <w:spacing w:line="280" w:lineRule="atLeast"/>
        <w:jc w:val="both"/>
        <w:rPr>
          <w:rFonts w:cs="Arial"/>
          <w:sz w:val="22"/>
          <w:szCs w:val="22"/>
        </w:rPr>
      </w:pPr>
    </w:p>
    <w:p w:rsidR="002B5E8C" w:rsidRPr="00F147F4" w:rsidRDefault="002B5E8C" w:rsidP="002B5E8C">
      <w:pPr>
        <w:spacing w:line="280" w:lineRule="atLeast"/>
        <w:jc w:val="both"/>
        <w:rPr>
          <w:rFonts w:cs="Arial"/>
          <w:sz w:val="22"/>
          <w:szCs w:val="22"/>
        </w:rPr>
      </w:pPr>
      <w:r w:rsidRPr="00F147F4">
        <w:rPr>
          <w:rFonts w:cs="Arial"/>
          <w:sz w:val="22"/>
          <w:szCs w:val="22"/>
        </w:rPr>
        <w:t xml:space="preserve">To ensure the distribution of its research to the industry, EDHEC-Risk also provides professionals with access to its website, </w:t>
      </w:r>
      <w:hyperlink r:id="rId13" w:history="1">
        <w:r w:rsidRPr="00F147F4">
          <w:rPr>
            <w:rStyle w:val="Hyperlink"/>
            <w:sz w:val="22"/>
            <w:szCs w:val="22"/>
          </w:rPr>
          <w:t>https://risk.edhec.edu</w:t>
        </w:r>
      </w:hyperlink>
      <w:r w:rsidRPr="00F147F4">
        <w:rPr>
          <w:rFonts w:cs="Arial"/>
          <w:sz w:val="22"/>
          <w:szCs w:val="22"/>
        </w:rPr>
        <w:t>, devoted to asset and risk management research for the industry, with a focus on investment solutions. Additionally, its quarterly newsletter is distributed to over 150,000 readers.</w:t>
      </w:r>
    </w:p>
    <w:p w:rsidR="002B5E8C" w:rsidRPr="00F147F4" w:rsidRDefault="002B5E8C" w:rsidP="002B5E8C">
      <w:pPr>
        <w:spacing w:line="280" w:lineRule="atLeast"/>
        <w:jc w:val="both"/>
        <w:rPr>
          <w:rFonts w:cs="Arial"/>
          <w:sz w:val="22"/>
          <w:szCs w:val="22"/>
        </w:rPr>
      </w:pPr>
    </w:p>
    <w:p w:rsidR="002B5E8C" w:rsidRPr="00F147F4" w:rsidRDefault="002B5E8C" w:rsidP="002B5E8C">
      <w:pPr>
        <w:autoSpaceDE w:val="0"/>
        <w:autoSpaceDN w:val="0"/>
        <w:jc w:val="both"/>
        <w:rPr>
          <w:snapToGrid w:val="0"/>
          <w:sz w:val="22"/>
          <w:szCs w:val="22"/>
        </w:rPr>
      </w:pPr>
      <w:r w:rsidRPr="00F147F4">
        <w:rPr>
          <w:snapToGrid w:val="0"/>
          <w:sz w:val="22"/>
          <w:szCs w:val="22"/>
        </w:rPr>
        <w:t>In addition to the EDHEC Alternative Indexes, which are used as performance benchmarks for risk analysis by investors in hedge funds, and the EDHEC-IEIF Monthly Commercial Property index, which tracks the performance of the French commercial property market through SCPIs, EDHEC-Risk has recently launched a series of new initiatives.</w:t>
      </w:r>
    </w:p>
    <w:p w:rsidR="007E16E1" w:rsidRPr="007E16E1" w:rsidRDefault="007E16E1" w:rsidP="007E16E1">
      <w:pPr>
        <w:pStyle w:val="ListParagraph"/>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4" w:anchor="tab_372" w:history="1">
        <w:r w:rsidRPr="007E16E1">
          <w:rPr>
            <w:rStyle w:val="Hyperlink"/>
            <w:rFonts w:ascii="Times New Roman" w:hAnsi="Times New Roman" w:cs="Times New Roman"/>
            <w:snapToGrid w:val="0"/>
          </w:rPr>
          <w:t>EDHEC-Princeton Retirement Goal-Based Investing Index Series</w:t>
        </w:r>
      </w:hyperlink>
      <w:r w:rsidRPr="007E16E1">
        <w:rPr>
          <w:rFonts w:ascii="Times New Roman" w:hAnsi="Times New Roman" w:cs="Times New Roman"/>
          <w:snapToGrid w:val="0"/>
        </w:rPr>
        <w:t xml:space="preserve">, launched in May 2018, which represent asset allocation benchmarks for innovative mass-customised target date solutions for individuals preparing for retirement; </w:t>
      </w:r>
    </w:p>
    <w:p w:rsidR="007E16E1" w:rsidRPr="007E16E1" w:rsidRDefault="007E16E1" w:rsidP="007E16E1">
      <w:pPr>
        <w:pStyle w:val="ListParagraph"/>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5" w:history="1">
        <w:r w:rsidRPr="007E16E1">
          <w:rPr>
            <w:rStyle w:val="Hyperlink"/>
            <w:rFonts w:ascii="Times New Roman" w:hAnsi="Times New Roman" w:cs="Times New Roman"/>
            <w:snapToGrid w:val="0"/>
          </w:rPr>
          <w:t>EDHEC Bond Risk Premium Monitor</w:t>
        </w:r>
      </w:hyperlink>
      <w:r w:rsidRPr="007E16E1">
        <w:rPr>
          <w:rFonts w:ascii="Times New Roman" w:hAnsi="Times New Roman" w:cs="Times New Roman"/>
          <w:snapToGrid w:val="0"/>
        </w:rPr>
        <w:t>, the purpose of which is to offer to investment and academic communities a tool to quantify and analyse the risk premium associated with Government bonds;</w:t>
      </w:r>
    </w:p>
    <w:p w:rsidR="007E16E1" w:rsidRPr="007E16E1" w:rsidRDefault="007E16E1" w:rsidP="007E16E1">
      <w:pPr>
        <w:pStyle w:val="ListParagraph"/>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6" w:history="1">
        <w:r w:rsidRPr="007E16E1">
          <w:rPr>
            <w:rStyle w:val="Hyperlink"/>
            <w:rFonts w:ascii="Times New Roman" w:hAnsi="Times New Roman" w:cs="Times New Roman"/>
            <w:snapToGrid w:val="0"/>
          </w:rPr>
          <w:t>EDHEC-Risk Investment Solutions (Serious) Game</w:t>
        </w:r>
      </w:hyperlink>
      <w:r w:rsidRPr="007E16E1">
        <w:rPr>
          <w:rFonts w:ascii="Times New Roman" w:hAnsi="Times New Roman" w:cs="Times New Roman"/>
          <w:snapToGrid w:val="0"/>
        </w:rPr>
        <w:t>, which is meant to facilitate engagement with graduate students or investment professionals enrolled on one of EDHEC-Risk’s various campus-based, blended or fully-digital educational programmes.</w:t>
      </w:r>
    </w:p>
    <w:p w:rsidR="002B5E8C" w:rsidRPr="007E16E1" w:rsidRDefault="002B5E8C" w:rsidP="002B5E8C">
      <w:pPr>
        <w:spacing w:line="280" w:lineRule="atLeast"/>
        <w:jc w:val="both"/>
        <w:rPr>
          <w:sz w:val="22"/>
          <w:szCs w:val="22"/>
        </w:rPr>
      </w:pPr>
    </w:p>
    <w:p w:rsidR="002B5E8C" w:rsidRPr="00F147F4" w:rsidRDefault="002B5E8C" w:rsidP="002B5E8C">
      <w:pPr>
        <w:spacing w:line="280" w:lineRule="atLeast"/>
        <w:jc w:val="both"/>
        <w:rPr>
          <w:rFonts w:cs="Arial"/>
          <w:sz w:val="22"/>
          <w:szCs w:val="22"/>
        </w:rPr>
      </w:pPr>
      <w:r w:rsidRPr="007E16E1">
        <w:rPr>
          <w:sz w:val="22"/>
          <w:szCs w:val="22"/>
        </w:rPr>
        <w:t>EDHEC-Risk Institute also has highly significant executive education activities for professionals, in</w:t>
      </w:r>
      <w:r w:rsidRPr="00F147F4">
        <w:rPr>
          <w:rFonts w:cs="Arial"/>
          <w:sz w:val="22"/>
          <w:szCs w:val="22"/>
        </w:rPr>
        <w:t xml:space="preserve"> partnership with prestigious academic partners.</w:t>
      </w:r>
    </w:p>
    <w:p w:rsidR="002B5E8C" w:rsidRPr="00F147F4" w:rsidRDefault="002B5E8C" w:rsidP="002B5E8C">
      <w:pPr>
        <w:spacing w:line="280" w:lineRule="atLeast"/>
        <w:jc w:val="both"/>
        <w:rPr>
          <w:rFonts w:cs="Arial"/>
          <w:sz w:val="22"/>
          <w:szCs w:val="22"/>
        </w:rPr>
      </w:pPr>
    </w:p>
    <w:p w:rsidR="002B5E8C" w:rsidRPr="00F147F4" w:rsidRDefault="002B5E8C" w:rsidP="002B5E8C">
      <w:pPr>
        <w:jc w:val="both"/>
        <w:rPr>
          <w:sz w:val="22"/>
          <w:szCs w:val="22"/>
        </w:rPr>
      </w:pPr>
      <w:r w:rsidRPr="00F147F4">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rsidR="002B5E8C" w:rsidRPr="00F147F4" w:rsidRDefault="002B5E8C" w:rsidP="002B5E8C">
      <w:pPr>
        <w:jc w:val="both"/>
        <w:rPr>
          <w:sz w:val="22"/>
          <w:szCs w:val="22"/>
        </w:rPr>
      </w:pPr>
    </w:p>
    <w:p w:rsidR="002B5E8C" w:rsidRPr="00F147F4" w:rsidRDefault="002B5E8C" w:rsidP="002B5E8C">
      <w:pPr>
        <w:jc w:val="both"/>
        <w:rPr>
          <w:sz w:val="22"/>
          <w:szCs w:val="22"/>
        </w:rPr>
      </w:pPr>
      <w:r w:rsidRPr="00F147F4">
        <w:rPr>
          <w:sz w:val="22"/>
          <w:szCs w:val="22"/>
        </w:rPr>
        <w:t xml:space="preserve">As part of its policy of transferring know-how to the industry, in 2013 EDHEC-Risk Institute also set up ERI Scientific Beta, which is an original initiative that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in both the methods and the associated risks. </w:t>
      </w:r>
    </w:p>
    <w:p w:rsidR="002B5E8C" w:rsidRPr="00F147F4" w:rsidRDefault="002B5E8C" w:rsidP="002B5E8C">
      <w:pPr>
        <w:jc w:val="both"/>
        <w:rPr>
          <w:sz w:val="22"/>
          <w:szCs w:val="22"/>
        </w:rPr>
      </w:pPr>
    </w:p>
    <w:p w:rsidR="002B5E8C" w:rsidRPr="00F147F4" w:rsidRDefault="002B5E8C" w:rsidP="002B5E8C">
      <w:pPr>
        <w:jc w:val="both"/>
        <w:rPr>
          <w:sz w:val="22"/>
          <w:szCs w:val="22"/>
        </w:rPr>
      </w:pPr>
      <w:r w:rsidRPr="00F147F4">
        <w:rPr>
          <w:sz w:val="22"/>
          <w:szCs w:val="22"/>
        </w:rPr>
        <w:t>EDHEC-Risk Institute also contributed to the 2016 launch of EDHEC Infrastructure Institute (EDHEC</w:t>
      </w:r>
      <w:r w:rsidRPr="00F147F4">
        <w:rPr>
          <w:i/>
          <w:sz w:val="22"/>
          <w:szCs w:val="22"/>
        </w:rPr>
        <w:t>infra</w:t>
      </w:r>
      <w:r w:rsidRPr="00F147F4">
        <w:rPr>
          <w:sz w:val="22"/>
          <w:szCs w:val="22"/>
        </w:rPr>
        <w:t>), a spin-off dedicated to benchmarking private infrastructure investments. EDHEC</w:t>
      </w:r>
      <w:r w:rsidRPr="00F147F4">
        <w:rPr>
          <w:i/>
          <w:sz w:val="22"/>
          <w:szCs w:val="22"/>
        </w:rPr>
        <w:t>infra</w:t>
      </w:r>
      <w:r w:rsidRPr="00F147F4">
        <w:rPr>
          <w:sz w:val="22"/>
          <w:szCs w:val="22"/>
        </w:rPr>
        <w:t xml:space="preserve"> was created to address the profound knowledge gap faced by infrastructure investors by collecting and standardising private investment and cash flow data and running state-of-the-art asset pricing and risk models to create the performance benchmarks that are needed for asset allocation, prudential regulation and the design of infrastructure investment solutions.</w:t>
      </w:r>
    </w:p>
    <w:p w:rsidR="002B5E8C" w:rsidRPr="00F147F4" w:rsidRDefault="002B5E8C" w:rsidP="002B5E8C">
      <w:pPr>
        <w:spacing w:line="280" w:lineRule="atLeast"/>
        <w:jc w:val="both"/>
        <w:rPr>
          <w:rFonts w:cs="Arial"/>
          <w:sz w:val="22"/>
          <w:szCs w:val="22"/>
        </w:rPr>
      </w:pPr>
    </w:p>
    <w:p w:rsidR="002B5E8C" w:rsidRPr="00F147F4" w:rsidRDefault="002B5E8C" w:rsidP="002B5E8C">
      <w:pPr>
        <w:jc w:val="both"/>
        <w:rPr>
          <w:color w:val="000000" w:themeColor="text1"/>
          <w:sz w:val="22"/>
          <w:szCs w:val="22"/>
        </w:rPr>
      </w:pPr>
    </w:p>
    <w:p w:rsidR="002B5E8C" w:rsidRPr="00F147F4" w:rsidRDefault="002B5E8C" w:rsidP="002B5E8C">
      <w:pPr>
        <w:autoSpaceDE w:val="0"/>
        <w:autoSpaceDN w:val="0"/>
        <w:adjustRightInd w:val="0"/>
        <w:rPr>
          <w:b/>
          <w:bCs/>
          <w:sz w:val="16"/>
          <w:szCs w:val="16"/>
          <w:lang w:eastAsia="zh-CN"/>
        </w:rPr>
      </w:pPr>
      <w:r w:rsidRPr="00F147F4">
        <w:rPr>
          <w:b/>
          <w:bCs/>
          <w:sz w:val="16"/>
          <w:szCs w:val="16"/>
          <w:lang w:eastAsia="zh-CN"/>
        </w:rPr>
        <w:t xml:space="preserve">                     </w:t>
      </w:r>
      <w:r w:rsidRPr="00F147F4">
        <w:rPr>
          <w:b/>
          <w:bCs/>
          <w:sz w:val="16"/>
          <w:szCs w:val="16"/>
          <w:lang w:eastAsia="zh-CN"/>
        </w:rPr>
        <w:tab/>
        <w:t>EDHEC-Risk Institute</w:t>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t>EDHEC Risk Institute—Europe</w:t>
      </w:r>
    </w:p>
    <w:p w:rsidR="002B5E8C" w:rsidRPr="00B32671" w:rsidRDefault="002B5E8C" w:rsidP="002B5E8C">
      <w:pPr>
        <w:autoSpaceDE w:val="0"/>
        <w:autoSpaceDN w:val="0"/>
        <w:adjustRightInd w:val="0"/>
        <w:ind w:left="708" w:firstLine="708"/>
        <w:rPr>
          <w:sz w:val="16"/>
          <w:szCs w:val="16"/>
          <w:lang w:val="fr-FR" w:eastAsia="zh-CN"/>
        </w:rPr>
      </w:pPr>
      <w:r w:rsidRPr="00B32671">
        <w:rPr>
          <w:sz w:val="16"/>
          <w:szCs w:val="16"/>
          <w:lang w:val="fr-FR" w:eastAsia="zh-CN"/>
        </w:rPr>
        <w:t>393 promenade des Anglais</w:t>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t xml:space="preserve">10 </w:t>
      </w:r>
      <w:proofErr w:type="spellStart"/>
      <w:r w:rsidRPr="00B32671">
        <w:rPr>
          <w:sz w:val="16"/>
          <w:szCs w:val="16"/>
          <w:lang w:val="fr-FR" w:eastAsia="zh-CN"/>
        </w:rPr>
        <w:t>Fleet</w:t>
      </w:r>
      <w:proofErr w:type="spellEnd"/>
      <w:r w:rsidRPr="00B32671">
        <w:rPr>
          <w:sz w:val="16"/>
          <w:szCs w:val="16"/>
          <w:lang w:val="fr-FR" w:eastAsia="zh-CN"/>
        </w:rPr>
        <w:t xml:space="preserve"> Place, </w:t>
      </w:r>
      <w:proofErr w:type="spellStart"/>
      <w:r w:rsidRPr="00B32671">
        <w:rPr>
          <w:sz w:val="16"/>
          <w:szCs w:val="16"/>
          <w:lang w:val="fr-FR" w:eastAsia="zh-CN"/>
        </w:rPr>
        <w:t>Ludgate</w:t>
      </w:r>
      <w:proofErr w:type="spellEnd"/>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BP 3116 - 06202 Nice Cedex 3</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London EC4M 7RB</w:t>
      </w:r>
      <w:r w:rsidRPr="00F147F4">
        <w:rPr>
          <w:sz w:val="16"/>
          <w:szCs w:val="16"/>
          <w:lang w:eastAsia="zh-CN"/>
        </w:rPr>
        <w:tab/>
      </w:r>
      <w:r w:rsidRPr="00F147F4">
        <w:rPr>
          <w:sz w:val="16"/>
          <w:szCs w:val="16"/>
          <w:lang w:eastAsia="zh-CN"/>
        </w:rPr>
        <w:tab/>
      </w:r>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France</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United Kingdom</w:t>
      </w:r>
      <w:r w:rsidRPr="00F147F4">
        <w:rPr>
          <w:sz w:val="16"/>
          <w:szCs w:val="16"/>
          <w:lang w:eastAsia="zh-CN"/>
        </w:rPr>
        <w:tab/>
      </w:r>
      <w:r w:rsidRPr="00F147F4">
        <w:rPr>
          <w:sz w:val="16"/>
          <w:szCs w:val="16"/>
          <w:lang w:eastAsia="zh-CN"/>
        </w:rPr>
        <w:tab/>
      </w:r>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Tel: +33 493 187 887</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Tel: + 44 207 332 5600</w:t>
      </w:r>
      <w:r w:rsidRPr="00F147F4">
        <w:rPr>
          <w:sz w:val="16"/>
          <w:szCs w:val="16"/>
          <w:lang w:eastAsia="zh-CN"/>
        </w:rPr>
        <w:tab/>
      </w:r>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ab/>
      </w:r>
    </w:p>
    <w:p w:rsidR="002B5E8C" w:rsidRPr="00F147F4" w:rsidRDefault="002B5E8C" w:rsidP="002B5E8C">
      <w:pPr>
        <w:jc w:val="both"/>
        <w:rPr>
          <w:color w:val="000000" w:themeColor="text1"/>
          <w:sz w:val="22"/>
          <w:szCs w:val="22"/>
        </w:rPr>
      </w:pPr>
    </w:p>
    <w:p w:rsidR="003065EB" w:rsidRPr="00F147F4" w:rsidRDefault="003065EB" w:rsidP="00DA5DB3">
      <w:pPr>
        <w:rPr>
          <w:b/>
          <w:color w:val="002060"/>
          <w:sz w:val="28"/>
          <w:szCs w:val="28"/>
        </w:rPr>
      </w:pPr>
    </w:p>
    <w:p w:rsidR="002B5E8C" w:rsidRPr="00F147F4" w:rsidRDefault="002B5E8C" w:rsidP="00DA5DB3">
      <w:pPr>
        <w:rPr>
          <w:b/>
          <w:color w:val="002060"/>
          <w:sz w:val="28"/>
          <w:szCs w:val="28"/>
        </w:rPr>
      </w:pPr>
    </w:p>
    <w:p w:rsidR="00F40AD0" w:rsidRPr="00F147F4" w:rsidRDefault="00F40AD0" w:rsidP="004D6DEF">
      <w:pPr>
        <w:rPr>
          <w:b/>
          <w:bCs/>
          <w:color w:val="000000"/>
          <w:sz w:val="27"/>
          <w:szCs w:val="27"/>
          <w:lang w:eastAsia="en-GB"/>
        </w:rPr>
      </w:pPr>
    </w:p>
    <w:p w:rsidR="004D6DEF" w:rsidRPr="00F147F4" w:rsidRDefault="004D6DEF" w:rsidP="004D6DEF">
      <w:pPr>
        <w:rPr>
          <w:b/>
          <w:bCs/>
          <w:color w:val="000000"/>
          <w:sz w:val="27"/>
          <w:szCs w:val="27"/>
          <w:lang w:eastAsia="en-GB"/>
        </w:rPr>
      </w:pPr>
      <w:r w:rsidRPr="00F147F4">
        <w:rPr>
          <w:b/>
          <w:bCs/>
          <w:color w:val="000000"/>
          <w:sz w:val="27"/>
          <w:szCs w:val="27"/>
          <w:lang w:eastAsia="en-GB"/>
        </w:rPr>
        <w:lastRenderedPageBreak/>
        <w:t>About Amundi</w:t>
      </w:r>
    </w:p>
    <w:p w:rsidR="004D6DEF" w:rsidRPr="00F147F4" w:rsidRDefault="004D6DEF" w:rsidP="004D6DEF">
      <w:pPr>
        <w:rPr>
          <w:i/>
          <w:sz w:val="22"/>
          <w:szCs w:val="22"/>
          <w:lang w:eastAsia="zh-CN"/>
        </w:rPr>
      </w:pPr>
    </w:p>
    <w:p w:rsidR="004D6DEF" w:rsidRPr="00F147F4" w:rsidRDefault="004D6DEF" w:rsidP="004D6DEF">
      <w:pPr>
        <w:pStyle w:val="BodyText"/>
        <w:spacing w:after="200"/>
        <w:rPr>
          <w:rFonts w:ascii="Times New Roman" w:hAnsi="Times New Roman"/>
        </w:rPr>
      </w:pPr>
      <w:r w:rsidRPr="00F147F4">
        <w:rPr>
          <w:rFonts w:ascii="Times New Roman" w:hAnsi="Times New Roman"/>
        </w:rPr>
        <w:t>Amundi is Europe’s largest asset manager by assets under management and ranks in the top 10</w:t>
      </w:r>
      <w:r w:rsidR="001C6D75" w:rsidRPr="00F147F4">
        <w:rPr>
          <w:rFonts w:ascii="Times New Roman" w:hAnsi="Times New Roman"/>
        </w:rPr>
        <w:t>¹</w:t>
      </w:r>
      <w:r w:rsidRPr="00F147F4">
        <w:rPr>
          <w:rFonts w:ascii="Times New Roman" w:hAnsi="Times New Roman"/>
        </w:rPr>
        <w:t xml:space="preserve"> globally. It manages more than 1.46 trillion</w:t>
      </w:r>
      <w:r w:rsidR="001C6D75" w:rsidRPr="00F147F4">
        <w:rPr>
          <w:rFonts w:ascii="Times New Roman" w:hAnsi="Times New Roman"/>
        </w:rPr>
        <w:t>²</w:t>
      </w:r>
      <w:r w:rsidRPr="00F147F4">
        <w:rPr>
          <w:rFonts w:ascii="Times New Roman" w:hAnsi="Times New Roman"/>
        </w:rPr>
        <w:t xml:space="preserve"> euros of assets across six main investment hubs</w:t>
      </w:r>
      <w:r w:rsidR="001C6D75" w:rsidRPr="00F147F4">
        <w:rPr>
          <w:rFonts w:ascii="Times New Roman" w:hAnsi="Times New Roman"/>
        </w:rPr>
        <w:t>³</w:t>
      </w:r>
      <w:r w:rsidRPr="00F147F4">
        <w:rPr>
          <w:rFonts w:ascii="Times New Roman" w:hAnsi="Times New Roman"/>
        </w:rPr>
        <w:t xml:space="preserve">. Amundi offers its clients in Europe, Asia-Pacific, the Middle-East and the Americas a wealth of market expertise and a full range of capabilities across the active, passive and real assets investment universes. Headquartered in Paris, and listed since November 2015, Amundi is </w:t>
      </w:r>
      <w:r w:rsidRPr="00F147F4">
        <w:rPr>
          <w:rFonts w:ascii="Times New Roman" w:hAnsi="Times New Roman"/>
          <w:bCs/>
        </w:rPr>
        <w:t>the 1</w:t>
      </w:r>
      <w:r w:rsidRPr="00F147F4">
        <w:rPr>
          <w:rFonts w:ascii="Times New Roman" w:hAnsi="Times New Roman"/>
          <w:bCs/>
          <w:vertAlign w:val="superscript"/>
        </w:rPr>
        <w:t>st</w:t>
      </w:r>
      <w:r w:rsidRPr="00F147F4">
        <w:rPr>
          <w:rFonts w:ascii="Times New Roman" w:hAnsi="Times New Roman"/>
          <w:bCs/>
        </w:rPr>
        <w:t xml:space="preserve"> asset manager in Europe by market capitalization</w:t>
      </w:r>
      <w:r w:rsidR="001C6D75" w:rsidRPr="00F147F4">
        <w:rPr>
          <w:rFonts w:ascii="Calibri" w:hAnsi="Calibri"/>
          <w:bCs/>
        </w:rPr>
        <w:t>⁴</w:t>
      </w:r>
      <w:r w:rsidRPr="00F147F4">
        <w:rPr>
          <w:rFonts w:ascii="Times New Roman" w:hAnsi="Times New Roman"/>
          <w:bCs/>
        </w:rPr>
        <w:t>.</w:t>
      </w:r>
    </w:p>
    <w:p w:rsidR="004D6DEF" w:rsidRPr="00F147F4" w:rsidRDefault="004D6DEF" w:rsidP="004D6DEF">
      <w:pPr>
        <w:rPr>
          <w:sz w:val="22"/>
          <w:szCs w:val="22"/>
        </w:rPr>
      </w:pPr>
      <w:r w:rsidRPr="00F147F4">
        <w:rPr>
          <w:sz w:val="22"/>
          <w:szCs w:val="22"/>
        </w:rPr>
        <w:t xml:space="preserve">Leveraging the benefits of its increased scope and size, Amundi has the ability to offer new and enhanced services and tools to its clients. Thanks to its unique research capabilities and the skills of close to 4,500 team members and market experts based in 37 countries, Amundi provides retail, institutional and corporate clients with innovative investment strategies and solutions tailored to their needs, targeted outcomes and risk profiles. </w:t>
      </w:r>
    </w:p>
    <w:p w:rsidR="004D6DEF" w:rsidRPr="00F147F4" w:rsidRDefault="004D6DEF" w:rsidP="004D6DEF">
      <w:pPr>
        <w:rPr>
          <w:sz w:val="22"/>
          <w:szCs w:val="22"/>
        </w:rPr>
      </w:pPr>
    </w:p>
    <w:p w:rsidR="004D6DEF" w:rsidRPr="00F147F4" w:rsidRDefault="004D6DEF" w:rsidP="004D6DEF">
      <w:pPr>
        <w:rPr>
          <w:b/>
          <w:sz w:val="22"/>
          <w:szCs w:val="22"/>
        </w:rPr>
      </w:pPr>
      <w:r w:rsidRPr="00F147F4">
        <w:rPr>
          <w:b/>
          <w:sz w:val="22"/>
          <w:szCs w:val="22"/>
        </w:rPr>
        <w:t>Amundi. Confidence must be earned.</w:t>
      </w:r>
    </w:p>
    <w:p w:rsidR="001C6D75" w:rsidRPr="00F147F4" w:rsidRDefault="001C6D75" w:rsidP="004D6DEF">
      <w:pPr>
        <w:rPr>
          <w:sz w:val="22"/>
          <w:szCs w:val="22"/>
        </w:rPr>
      </w:pPr>
    </w:p>
    <w:p w:rsidR="004D6DEF" w:rsidRPr="00F147F4" w:rsidRDefault="004D6DEF" w:rsidP="004D6DEF">
      <w:pPr>
        <w:rPr>
          <w:sz w:val="22"/>
          <w:szCs w:val="22"/>
        </w:rPr>
      </w:pPr>
      <w:r w:rsidRPr="00F147F4">
        <w:rPr>
          <w:sz w:val="22"/>
          <w:szCs w:val="22"/>
        </w:rPr>
        <w:t xml:space="preserve">Visit </w:t>
      </w:r>
      <w:hyperlink r:id="rId17" w:history="1">
        <w:r w:rsidRPr="00F147F4">
          <w:rPr>
            <w:rStyle w:val="Hyperlink"/>
            <w:sz w:val="22"/>
            <w:szCs w:val="22"/>
          </w:rPr>
          <w:t>amundi.com</w:t>
        </w:r>
      </w:hyperlink>
      <w:r w:rsidRPr="00F147F4">
        <w:rPr>
          <w:sz w:val="22"/>
          <w:szCs w:val="22"/>
        </w:rPr>
        <w:t xml:space="preserve"> for more information or to find an Amundi office near you.</w:t>
      </w:r>
    </w:p>
    <w:p w:rsidR="004D6DEF" w:rsidRPr="00F147F4" w:rsidRDefault="004D6DEF" w:rsidP="004D6DEF">
      <w:pPr>
        <w:rPr>
          <w:color w:val="000000"/>
          <w:sz w:val="22"/>
          <w:szCs w:val="22"/>
          <w:lang w:eastAsia="en-GB"/>
        </w:rPr>
      </w:pPr>
    </w:p>
    <w:p w:rsidR="004D6DEF" w:rsidRPr="00F147F4" w:rsidRDefault="004D6DEF" w:rsidP="004D6DEF">
      <w:pPr>
        <w:rPr>
          <w:color w:val="000000"/>
          <w:sz w:val="22"/>
          <w:szCs w:val="22"/>
          <w:lang w:eastAsia="en-GB"/>
        </w:rPr>
      </w:pPr>
    </w:p>
    <w:p w:rsidR="004D6DEF" w:rsidRPr="00F147F4" w:rsidRDefault="004D6DEF" w:rsidP="004D6DEF">
      <w:pPr>
        <w:rPr>
          <w:color w:val="000000"/>
          <w:sz w:val="22"/>
          <w:szCs w:val="22"/>
          <w:lang w:eastAsia="en-GB"/>
        </w:rPr>
      </w:pPr>
      <w:r w:rsidRPr="00F147F4">
        <w:rPr>
          <w:color w:val="000000"/>
          <w:sz w:val="22"/>
          <w:szCs w:val="22"/>
          <w:lang w:eastAsia="en-GB"/>
        </w:rPr>
        <w:t>Follow us on</w:t>
      </w:r>
      <w:r w:rsidRPr="00F147F4">
        <w:rPr>
          <w:color w:val="000000"/>
          <w:sz w:val="22"/>
          <w:szCs w:val="22"/>
          <w:lang w:eastAsia="en-GB"/>
        </w:rPr>
        <w:tab/>
        <w:t xml:space="preserve"> </w:t>
      </w:r>
      <w:r w:rsidR="00AC2005" w:rsidRPr="00F147F4">
        <w:rPr>
          <w:noProof/>
          <w:color w:val="000000"/>
          <w:sz w:val="22"/>
          <w:szCs w:val="22"/>
          <w:lang w:val="fr-FR"/>
        </w:rPr>
        <w:drawing>
          <wp:inline distT="0" distB="0" distL="0" distR="0">
            <wp:extent cx="361950" cy="361950"/>
            <wp:effectExtent l="0" t="0" r="0" b="0"/>
            <wp:docPr id="6" name="Image 6" descr="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inkedin">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147F4">
        <w:rPr>
          <w:color w:val="000000"/>
          <w:sz w:val="22"/>
          <w:szCs w:val="22"/>
          <w:lang w:eastAsia="en-GB"/>
        </w:rPr>
        <w:tab/>
      </w:r>
      <w:r w:rsidR="00AC2005" w:rsidRPr="00F147F4">
        <w:rPr>
          <w:noProof/>
          <w:color w:val="000000"/>
          <w:sz w:val="22"/>
          <w:szCs w:val="22"/>
          <w:lang w:val="fr-FR"/>
        </w:rPr>
        <w:drawing>
          <wp:inline distT="0" distB="0" distL="0" distR="0">
            <wp:extent cx="361950" cy="361950"/>
            <wp:effectExtent l="0" t="0" r="0" b="0"/>
            <wp:docPr id="5" name="Image 5"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witter">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F147F4">
        <w:rPr>
          <w:color w:val="000000"/>
          <w:sz w:val="22"/>
          <w:szCs w:val="22"/>
          <w:lang w:eastAsia="en-GB"/>
        </w:rPr>
        <w:tab/>
      </w:r>
      <w:r w:rsidR="00AC2005" w:rsidRPr="00F147F4">
        <w:rPr>
          <w:noProof/>
          <w:color w:val="000000"/>
          <w:sz w:val="22"/>
          <w:szCs w:val="22"/>
          <w:lang w:val="fr-FR"/>
        </w:rPr>
        <w:drawing>
          <wp:inline distT="0" distB="0" distL="0" distR="0">
            <wp:extent cx="361950" cy="361950"/>
            <wp:effectExtent l="0" t="0" r="0" b="0"/>
            <wp:docPr id="4" name="Image 4" descr="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cebook">
                      <a:hlinkClick r:id="rId22"/>
                    </pic:cNvPr>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C6D75" w:rsidRPr="00F147F4" w:rsidRDefault="001C6D75" w:rsidP="004D6DEF">
      <w:pPr>
        <w:rPr>
          <w:color w:val="000000"/>
          <w:sz w:val="22"/>
          <w:szCs w:val="22"/>
          <w:lang w:eastAsia="en-GB"/>
        </w:rPr>
      </w:pPr>
    </w:p>
    <w:p w:rsidR="00F40AD0" w:rsidRPr="00F147F4" w:rsidRDefault="00F40AD0" w:rsidP="00F40AD0">
      <w:pPr>
        <w:pStyle w:val="FootnoteText"/>
        <w:rPr>
          <w:sz w:val="18"/>
          <w:szCs w:val="18"/>
        </w:rPr>
      </w:pPr>
      <w:r w:rsidRPr="00F147F4">
        <w:rPr>
          <w:rStyle w:val="FootnoteReference"/>
          <w:sz w:val="18"/>
          <w:szCs w:val="18"/>
        </w:rPr>
        <w:footnoteRef/>
      </w:r>
      <w:r w:rsidRPr="00F147F4">
        <w:rPr>
          <w:sz w:val="18"/>
          <w:szCs w:val="18"/>
        </w:rPr>
        <w:t xml:space="preserve"> Source IPE “Top 400 asset managers” published in June 2018 and based on AUM as of end December 2017.</w:t>
      </w:r>
    </w:p>
    <w:p w:rsidR="00F40AD0" w:rsidRPr="00F147F4" w:rsidRDefault="001C6D75" w:rsidP="00F40AD0">
      <w:pPr>
        <w:pStyle w:val="FootnoteText"/>
        <w:rPr>
          <w:rStyle w:val="FootnoteReference"/>
          <w:sz w:val="18"/>
          <w:szCs w:val="18"/>
        </w:rPr>
      </w:pPr>
      <w:r w:rsidRPr="00F147F4">
        <w:rPr>
          <w:rStyle w:val="FootnoteReference"/>
          <w:sz w:val="18"/>
          <w:szCs w:val="18"/>
        </w:rPr>
        <w:t>²</w:t>
      </w:r>
      <w:r w:rsidR="00F40AD0" w:rsidRPr="00F147F4">
        <w:rPr>
          <w:rStyle w:val="FootnoteReference"/>
          <w:sz w:val="18"/>
          <w:szCs w:val="18"/>
        </w:rPr>
        <w:t xml:space="preserve"> </w:t>
      </w:r>
      <w:r w:rsidR="00F40AD0" w:rsidRPr="00F147F4">
        <w:rPr>
          <w:sz w:val="18"/>
          <w:szCs w:val="18"/>
        </w:rPr>
        <w:t>Amundi figures as of June 30, 2018</w:t>
      </w:r>
    </w:p>
    <w:p w:rsidR="00F40AD0" w:rsidRPr="00F147F4" w:rsidRDefault="001C6D75" w:rsidP="00F40AD0">
      <w:pPr>
        <w:pStyle w:val="FootnoteText"/>
        <w:rPr>
          <w:sz w:val="18"/>
          <w:szCs w:val="18"/>
        </w:rPr>
      </w:pPr>
      <w:r w:rsidRPr="00F147F4">
        <w:rPr>
          <w:sz w:val="18"/>
          <w:szCs w:val="18"/>
        </w:rPr>
        <w:t>³</w:t>
      </w:r>
      <w:r w:rsidR="00F40AD0" w:rsidRPr="00F147F4">
        <w:rPr>
          <w:sz w:val="18"/>
          <w:szCs w:val="18"/>
        </w:rPr>
        <w:t>Investment hubs: Boston, Dublin, London, Milan, Paris and Tokyo</w:t>
      </w:r>
    </w:p>
    <w:p w:rsidR="004D6DEF" w:rsidRPr="00F147F4" w:rsidRDefault="002B5E8C" w:rsidP="00F40AD0">
      <w:pPr>
        <w:rPr>
          <w:b/>
          <w:bCs/>
          <w:sz w:val="18"/>
          <w:szCs w:val="18"/>
        </w:rPr>
      </w:pPr>
      <w:r w:rsidRPr="00F147F4">
        <w:rPr>
          <w:rFonts w:ascii="Calibri" w:hAnsi="Calibri"/>
          <w:bCs/>
          <w:sz w:val="18"/>
          <w:szCs w:val="18"/>
        </w:rPr>
        <w:t>⁴</w:t>
      </w:r>
      <w:r w:rsidR="00F40AD0" w:rsidRPr="00F147F4">
        <w:rPr>
          <w:sz w:val="18"/>
          <w:szCs w:val="18"/>
        </w:rPr>
        <w:t xml:space="preserve"> Based on market capitalization as of June 30, 2018</w:t>
      </w:r>
    </w:p>
    <w:p w:rsidR="00F40AD0" w:rsidRPr="00F147F4" w:rsidRDefault="00F40AD0" w:rsidP="004C6BF1">
      <w:pPr>
        <w:rPr>
          <w:color w:val="000000"/>
          <w:sz w:val="22"/>
          <w:szCs w:val="22"/>
          <w:lang w:eastAsia="en-GB"/>
        </w:rPr>
      </w:pPr>
    </w:p>
    <w:p w:rsidR="002B5E8C" w:rsidRPr="00F147F4" w:rsidRDefault="002B5E8C" w:rsidP="004C6BF1">
      <w:pPr>
        <w:rPr>
          <w:color w:val="000000"/>
          <w:sz w:val="22"/>
          <w:szCs w:val="22"/>
          <w:lang w:eastAsia="en-GB"/>
        </w:rPr>
      </w:pPr>
    </w:p>
    <w:p w:rsidR="004D6DEF" w:rsidRPr="00F147F4" w:rsidRDefault="004D6DEF" w:rsidP="00AC2005">
      <w:pPr>
        <w:rPr>
          <w:b/>
          <w:bCs/>
          <w:color w:val="000000"/>
          <w:sz w:val="27"/>
          <w:szCs w:val="27"/>
          <w:lang w:eastAsia="en-GB"/>
        </w:rPr>
      </w:pPr>
      <w:r w:rsidRPr="00F147F4">
        <w:rPr>
          <w:b/>
          <w:bCs/>
          <w:color w:val="000000"/>
          <w:sz w:val="27"/>
          <w:szCs w:val="27"/>
          <w:lang w:eastAsia="en-GB"/>
        </w:rPr>
        <w:t>About Amundi ETF, Indexing and Smart Beta</w:t>
      </w:r>
      <w:r w:rsidR="00F40AD0" w:rsidRPr="00F147F4">
        <w:rPr>
          <w:b/>
          <w:bCs/>
          <w:color w:val="000000"/>
          <w:sz w:val="27"/>
          <w:szCs w:val="27"/>
          <w:lang w:eastAsia="en-GB"/>
        </w:rPr>
        <w:t>¹</w:t>
      </w:r>
    </w:p>
    <w:p w:rsidR="004D6DEF" w:rsidRPr="00F147F4" w:rsidRDefault="004D6DEF" w:rsidP="004D6DEF">
      <w:pPr>
        <w:rPr>
          <w:color w:val="000000"/>
          <w:sz w:val="22"/>
          <w:szCs w:val="22"/>
          <w:lang w:eastAsia="en-GB"/>
        </w:rPr>
      </w:pPr>
      <w:r w:rsidRPr="00F147F4">
        <w:rPr>
          <w:color w:val="000000"/>
          <w:sz w:val="22"/>
          <w:szCs w:val="22"/>
          <w:lang w:eastAsia="en-GB"/>
        </w:rPr>
        <w:t> </w:t>
      </w:r>
    </w:p>
    <w:p w:rsidR="004D6DEF" w:rsidRPr="00F147F4" w:rsidRDefault="004D6DEF" w:rsidP="004D6DEF">
      <w:pPr>
        <w:rPr>
          <w:color w:val="000000"/>
          <w:sz w:val="22"/>
          <w:szCs w:val="22"/>
          <w:lang w:eastAsia="en-GB"/>
        </w:rPr>
      </w:pPr>
      <w:r w:rsidRPr="00F147F4">
        <w:rPr>
          <w:color w:val="000000"/>
          <w:sz w:val="22"/>
          <w:szCs w:val="22"/>
          <w:lang w:eastAsia="en-GB"/>
        </w:rPr>
        <w:t>With more than €96 billion in assets under management, Amundi ETF, Indexing and Smart Beta is one of Amundi’s strategic business areas and is a key growth driver for the Group.</w:t>
      </w:r>
    </w:p>
    <w:p w:rsidR="004D6DEF" w:rsidRPr="00F147F4" w:rsidRDefault="004D6DEF" w:rsidP="004D6DEF">
      <w:pPr>
        <w:rPr>
          <w:color w:val="000000"/>
          <w:sz w:val="22"/>
          <w:szCs w:val="22"/>
          <w:lang w:eastAsia="en-GB"/>
        </w:rPr>
      </w:pPr>
      <w:r w:rsidRPr="00F147F4">
        <w:rPr>
          <w:color w:val="000000"/>
          <w:sz w:val="22"/>
          <w:szCs w:val="22"/>
          <w:lang w:eastAsia="en-GB"/>
        </w:rPr>
        <w:t> </w:t>
      </w:r>
    </w:p>
    <w:p w:rsidR="004D6DEF" w:rsidRPr="00F147F4" w:rsidRDefault="004D6DEF" w:rsidP="004D6DEF">
      <w:pPr>
        <w:rPr>
          <w:color w:val="000000"/>
          <w:sz w:val="22"/>
          <w:szCs w:val="22"/>
          <w:lang w:eastAsia="en-GB"/>
        </w:rPr>
      </w:pPr>
      <w:r w:rsidRPr="00F147F4">
        <w:rPr>
          <w:color w:val="000000"/>
          <w:sz w:val="22"/>
          <w:szCs w:val="22"/>
          <w:lang w:eastAsia="en-GB"/>
        </w:rPr>
        <w:t>Amundi ETF, Indexing and Smart Beta business line provides investors - whether institutionals or distributors - with robust, flexible and cost-efficient solutions, leveraging Amundi Group’s scale and deep resources. </w:t>
      </w:r>
    </w:p>
    <w:p w:rsidR="004D6DEF" w:rsidRPr="00F147F4" w:rsidRDefault="004D6DEF" w:rsidP="004D6DEF">
      <w:pPr>
        <w:rPr>
          <w:color w:val="000000"/>
          <w:sz w:val="22"/>
          <w:szCs w:val="22"/>
          <w:lang w:eastAsia="en-GB"/>
        </w:rPr>
      </w:pPr>
      <w:r w:rsidRPr="00F147F4">
        <w:rPr>
          <w:color w:val="000000"/>
          <w:sz w:val="22"/>
          <w:szCs w:val="22"/>
          <w:lang w:eastAsia="en-GB"/>
        </w:rPr>
        <w:t> </w:t>
      </w:r>
    </w:p>
    <w:p w:rsidR="004D6DEF" w:rsidRPr="00F147F4" w:rsidRDefault="004D6DEF" w:rsidP="004D6DEF">
      <w:pPr>
        <w:jc w:val="both"/>
        <w:rPr>
          <w:color w:val="000000"/>
          <w:sz w:val="22"/>
          <w:szCs w:val="22"/>
          <w:lang w:eastAsia="en-GB"/>
        </w:rPr>
      </w:pPr>
      <w:r w:rsidRPr="00F147F4">
        <w:rPr>
          <w:color w:val="000000"/>
          <w:sz w:val="22"/>
          <w:szCs w:val="22"/>
          <w:lang w:eastAsia="en-GB"/>
        </w:rPr>
        <w:t xml:space="preserve">With over 30 years of benchmark construction and replication expertise covering over 100 indices, Amundi is a trusted name in ETF &amp; Index management among the world’s largest institutions. The team also manages over €20 billion in Smart Beta &amp; Factor Investing, covering solutions based on both efficient risk management and factor investing. These solutions are available into passive (index-based or ETF) and active management. </w:t>
      </w:r>
    </w:p>
    <w:p w:rsidR="004D6DEF" w:rsidRPr="00F147F4" w:rsidRDefault="004D6DEF" w:rsidP="004D6DEF">
      <w:pPr>
        <w:jc w:val="both"/>
        <w:rPr>
          <w:color w:val="000000"/>
          <w:sz w:val="22"/>
          <w:szCs w:val="22"/>
          <w:lang w:eastAsia="en-GB"/>
        </w:rPr>
      </w:pPr>
    </w:p>
    <w:p w:rsidR="004D6DEF" w:rsidRPr="00F147F4" w:rsidRDefault="004D6DEF" w:rsidP="004D6DEF">
      <w:pPr>
        <w:jc w:val="both"/>
        <w:rPr>
          <w:color w:val="000000"/>
          <w:sz w:val="22"/>
          <w:szCs w:val="22"/>
          <w:lang w:eastAsia="en-GB"/>
        </w:rPr>
      </w:pPr>
      <w:r w:rsidRPr="00F147F4">
        <w:rPr>
          <w:color w:val="000000"/>
          <w:sz w:val="22"/>
          <w:szCs w:val="22"/>
          <w:lang w:eastAsia="en-GB"/>
        </w:rPr>
        <w:t xml:space="preserve">Thanks to the support of the whole Amundi Group, Amundi ETF, Indexing &amp; Smart Beta business line helps meet the asset allocation needs of investors, while continuously innovating to design products that help clients meet the new challenges. </w:t>
      </w:r>
    </w:p>
    <w:p w:rsidR="004D6DEF" w:rsidRPr="00F147F4" w:rsidRDefault="004D6DEF" w:rsidP="004D6DEF">
      <w:pPr>
        <w:jc w:val="both"/>
        <w:rPr>
          <w:color w:val="000000"/>
          <w:sz w:val="22"/>
          <w:szCs w:val="22"/>
          <w:lang w:eastAsia="en-GB"/>
        </w:rPr>
      </w:pPr>
      <w:proofErr w:type="gramStart"/>
      <w:r w:rsidRPr="00F147F4">
        <w:rPr>
          <w:color w:val="000000"/>
          <w:sz w:val="22"/>
          <w:szCs w:val="22"/>
          <w:lang w:eastAsia="en-GB"/>
        </w:rPr>
        <w:t>The business line benefits from the long</w:t>
      </w:r>
      <w:r w:rsidR="00AB78E1">
        <w:rPr>
          <w:color w:val="000000"/>
          <w:sz w:val="22"/>
          <w:szCs w:val="22"/>
          <w:lang w:eastAsia="en-GB"/>
        </w:rPr>
        <w:t>-</w:t>
      </w:r>
      <w:r w:rsidRPr="00F147F4">
        <w:rPr>
          <w:color w:val="000000"/>
          <w:sz w:val="22"/>
          <w:szCs w:val="22"/>
          <w:lang w:eastAsia="en-GB"/>
        </w:rPr>
        <w:t>standing ESG knowledge of one of the biggest non-financial analyst teams in Europe, as well as the wide quantitative research resources of the Group to customize portfolios according to investors’ constraints.</w:t>
      </w:r>
      <w:proofErr w:type="gramEnd"/>
      <w:r w:rsidRPr="00F147F4">
        <w:rPr>
          <w:color w:val="000000"/>
          <w:sz w:val="22"/>
          <w:szCs w:val="22"/>
          <w:lang w:eastAsia="en-GB"/>
        </w:rPr>
        <w:t xml:space="preserve"> </w:t>
      </w:r>
    </w:p>
    <w:p w:rsidR="004D6DEF" w:rsidRPr="00F147F4" w:rsidRDefault="004D6DEF" w:rsidP="004D6DEF">
      <w:pPr>
        <w:jc w:val="both"/>
        <w:rPr>
          <w:color w:val="000000"/>
          <w:sz w:val="22"/>
          <w:szCs w:val="22"/>
          <w:lang w:eastAsia="en-GB"/>
        </w:rPr>
      </w:pPr>
    </w:p>
    <w:p w:rsidR="004D6DEF" w:rsidRPr="00F147F4" w:rsidRDefault="004D6DEF" w:rsidP="004D6DEF">
      <w:pPr>
        <w:jc w:val="both"/>
        <w:rPr>
          <w:color w:val="000000"/>
          <w:sz w:val="22"/>
          <w:szCs w:val="22"/>
          <w:lang w:eastAsia="en-GB"/>
        </w:rPr>
      </w:pPr>
    </w:p>
    <w:p w:rsidR="004D6DEF" w:rsidRPr="00F147F4" w:rsidRDefault="001C6D75" w:rsidP="004D6DEF">
      <w:pPr>
        <w:spacing w:line="360" w:lineRule="auto"/>
        <w:jc w:val="both"/>
        <w:rPr>
          <w:sz w:val="16"/>
          <w:szCs w:val="16"/>
          <w:lang w:eastAsia="en-US"/>
        </w:rPr>
      </w:pPr>
      <w:r w:rsidRPr="00F147F4">
        <w:rPr>
          <w:sz w:val="16"/>
          <w:szCs w:val="16"/>
        </w:rPr>
        <w:t>¹</w:t>
      </w:r>
      <w:r w:rsidR="004D6DEF" w:rsidRPr="00F147F4">
        <w:rPr>
          <w:sz w:val="16"/>
          <w:szCs w:val="16"/>
        </w:rPr>
        <w:t>All figures and data are provided by Amundi ETF, Indexing &amp; Smart Beta at end June 2018</w:t>
      </w:r>
    </w:p>
    <w:p w:rsidR="00DA5DB3" w:rsidRPr="00F147F4" w:rsidRDefault="00DA5DB3" w:rsidP="00DA5DB3">
      <w:pPr>
        <w:autoSpaceDE w:val="0"/>
        <w:autoSpaceDN w:val="0"/>
      </w:pPr>
    </w:p>
    <w:p w:rsidR="003E6D8F" w:rsidRPr="00F147F4" w:rsidRDefault="003E6D8F" w:rsidP="008746BB">
      <w:pPr>
        <w:rPr>
          <w:sz w:val="22"/>
          <w:szCs w:val="22"/>
        </w:rPr>
      </w:pPr>
    </w:p>
    <w:sectPr w:rsidR="003E6D8F" w:rsidRPr="00F147F4" w:rsidSect="00426901">
      <w:pgSz w:w="11906" w:h="16838"/>
      <w:pgMar w:top="993" w:right="1418" w:bottom="1135" w:left="1418" w:header="709" w:footer="22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BF9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8A" w:rsidRDefault="0080658A">
      <w:r>
        <w:separator/>
      </w:r>
    </w:p>
  </w:endnote>
  <w:endnote w:type="continuationSeparator" w:id="0">
    <w:p w:rsidR="0080658A" w:rsidRDefault="00806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8A" w:rsidRDefault="0080658A">
      <w:r>
        <w:separator/>
      </w:r>
    </w:p>
  </w:footnote>
  <w:footnote w:type="continuationSeparator" w:id="0">
    <w:p w:rsidR="0080658A" w:rsidRDefault="0080658A">
      <w:r>
        <w:continuationSeparator/>
      </w:r>
    </w:p>
  </w:footnote>
  <w:footnote w:id="1">
    <w:p w:rsidR="006B63B1" w:rsidRPr="00CC1456" w:rsidRDefault="006B63B1">
      <w:pPr>
        <w:pStyle w:val="FootnoteText"/>
      </w:pPr>
      <w:r w:rsidRPr="00CC1456">
        <w:rPr>
          <w:rStyle w:val="FootnoteReference"/>
        </w:rPr>
        <w:footnoteRef/>
      </w:r>
      <w:r w:rsidRPr="00CC1456">
        <w:t xml:space="preserve"> </w:t>
      </w:r>
      <w:proofErr w:type="gramStart"/>
      <w:r w:rsidR="00F147F4">
        <w:t>A</w:t>
      </w:r>
      <w:r w:rsidRPr="00CC1456">
        <w:rPr>
          <w:lang w:eastAsia="de-DE"/>
        </w:rPr>
        <w:t xml:space="preserve"> comprehensive survey of 163 European ETF and Smart Beta investors</w:t>
      </w:r>
      <w:r w:rsidR="00F147F4">
        <w:rPr>
          <w:lang w:eastAsia="de-DE"/>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86A0A8"/>
    <w:lvl w:ilvl="0">
      <w:numFmt w:val="bullet"/>
      <w:lvlText w:val="*"/>
      <w:lvlJc w:val="left"/>
    </w:lvl>
  </w:abstractNum>
  <w:abstractNum w:abstractNumId="1">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B001A"/>
    <w:multiLevelType w:val="hybridMultilevel"/>
    <w:tmpl w:val="8508E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C6751A9"/>
    <w:multiLevelType w:val="hybridMultilevel"/>
    <w:tmpl w:val="F4E6C7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6648DC"/>
    <w:multiLevelType w:val="hybridMultilevel"/>
    <w:tmpl w:val="52643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2701AA"/>
    <w:multiLevelType w:val="hybridMultilevel"/>
    <w:tmpl w:val="0F08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3F2444"/>
    <w:multiLevelType w:val="hybridMultilevel"/>
    <w:tmpl w:val="FF24A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8865EC"/>
    <w:multiLevelType w:val="hybridMultilevel"/>
    <w:tmpl w:val="A986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DC94CA1"/>
    <w:multiLevelType w:val="hybridMultilevel"/>
    <w:tmpl w:val="033C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EB7C3A"/>
    <w:multiLevelType w:val="hybridMultilevel"/>
    <w:tmpl w:val="95CC6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450853"/>
    <w:multiLevelType w:val="hybridMultilevel"/>
    <w:tmpl w:val="F8F46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3"/>
  </w:num>
  <w:num w:numId="5">
    <w:abstractNumId w:val="24"/>
  </w:num>
  <w:num w:numId="6">
    <w:abstractNumId w:val="16"/>
  </w:num>
  <w:num w:numId="7">
    <w:abstractNumId w:val="26"/>
  </w:num>
  <w:num w:numId="8">
    <w:abstractNumId w:val="17"/>
  </w:num>
  <w:num w:numId="9">
    <w:abstractNumId w:val="15"/>
  </w:num>
  <w:num w:numId="10">
    <w:abstractNumId w:val="9"/>
  </w:num>
  <w:num w:numId="11">
    <w:abstractNumId w:val="1"/>
  </w:num>
  <w:num w:numId="12">
    <w:abstractNumId w:val="22"/>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21"/>
  </w:num>
  <w:num w:numId="15">
    <w:abstractNumId w:val="6"/>
  </w:num>
  <w:num w:numId="16">
    <w:abstractNumId w:val="11"/>
  </w:num>
  <w:num w:numId="17">
    <w:abstractNumId w:val="3"/>
  </w:num>
  <w:num w:numId="18">
    <w:abstractNumId w:val="19"/>
  </w:num>
  <w:num w:numId="19">
    <w:abstractNumId w:val="20"/>
  </w:num>
  <w:num w:numId="20">
    <w:abstractNumId w:val="18"/>
  </w:num>
  <w:num w:numId="21">
    <w:abstractNumId w:val="8"/>
  </w:num>
  <w:num w:numId="22">
    <w:abstractNumId w:val="5"/>
  </w:num>
  <w:num w:numId="23">
    <w:abstractNumId w:val="14"/>
  </w:num>
  <w:num w:numId="24">
    <w:abstractNumId w:val="2"/>
  </w:num>
  <w:num w:numId="25">
    <w:abstractNumId w:val="12"/>
  </w:num>
  <w:num w:numId="26">
    <w:abstractNumId w:val="25"/>
  </w:num>
  <w:num w:numId="27">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KER Damilola">
    <w15:presenceInfo w15:providerId="AD" w15:userId="S-1-5-21-3570809648-2655409026-1492118145-12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rsids>
    <w:rsidRoot w:val="003E02F0"/>
    <w:rsid w:val="000055EB"/>
    <w:rsid w:val="00006D79"/>
    <w:rsid w:val="000070DF"/>
    <w:rsid w:val="00015EC6"/>
    <w:rsid w:val="00023DEF"/>
    <w:rsid w:val="000300CC"/>
    <w:rsid w:val="00031786"/>
    <w:rsid w:val="0003189A"/>
    <w:rsid w:val="00034366"/>
    <w:rsid w:val="00034CB4"/>
    <w:rsid w:val="00035D5B"/>
    <w:rsid w:val="00037390"/>
    <w:rsid w:val="00063123"/>
    <w:rsid w:val="00071E7E"/>
    <w:rsid w:val="00075A5B"/>
    <w:rsid w:val="00075C4A"/>
    <w:rsid w:val="000867E0"/>
    <w:rsid w:val="00087BE7"/>
    <w:rsid w:val="00087F44"/>
    <w:rsid w:val="00093283"/>
    <w:rsid w:val="00093F2B"/>
    <w:rsid w:val="00095310"/>
    <w:rsid w:val="0009747F"/>
    <w:rsid w:val="000B174B"/>
    <w:rsid w:val="000B247B"/>
    <w:rsid w:val="000B42E8"/>
    <w:rsid w:val="000C0206"/>
    <w:rsid w:val="000C15ED"/>
    <w:rsid w:val="000C390B"/>
    <w:rsid w:val="000C46F8"/>
    <w:rsid w:val="000C4995"/>
    <w:rsid w:val="000D3AAA"/>
    <w:rsid w:val="000D5E26"/>
    <w:rsid w:val="000E55ED"/>
    <w:rsid w:val="000E706B"/>
    <w:rsid w:val="000F1556"/>
    <w:rsid w:val="000F74A0"/>
    <w:rsid w:val="000F7832"/>
    <w:rsid w:val="00101690"/>
    <w:rsid w:val="0010231C"/>
    <w:rsid w:val="00102B4A"/>
    <w:rsid w:val="00104363"/>
    <w:rsid w:val="00107463"/>
    <w:rsid w:val="00107976"/>
    <w:rsid w:val="00113480"/>
    <w:rsid w:val="00115871"/>
    <w:rsid w:val="00117F29"/>
    <w:rsid w:val="00121FCC"/>
    <w:rsid w:val="00124136"/>
    <w:rsid w:val="00125A7A"/>
    <w:rsid w:val="00130DA8"/>
    <w:rsid w:val="00133D59"/>
    <w:rsid w:val="001357C2"/>
    <w:rsid w:val="001372DA"/>
    <w:rsid w:val="00145A07"/>
    <w:rsid w:val="001532CC"/>
    <w:rsid w:val="001564BA"/>
    <w:rsid w:val="001609A7"/>
    <w:rsid w:val="001661F2"/>
    <w:rsid w:val="001704C4"/>
    <w:rsid w:val="00170F43"/>
    <w:rsid w:val="00171129"/>
    <w:rsid w:val="00172D2B"/>
    <w:rsid w:val="00173892"/>
    <w:rsid w:val="00173C06"/>
    <w:rsid w:val="00173E46"/>
    <w:rsid w:val="00176773"/>
    <w:rsid w:val="00177AC0"/>
    <w:rsid w:val="00183853"/>
    <w:rsid w:val="001866B0"/>
    <w:rsid w:val="00186FC0"/>
    <w:rsid w:val="001914D8"/>
    <w:rsid w:val="0019491E"/>
    <w:rsid w:val="001A50D7"/>
    <w:rsid w:val="001A723F"/>
    <w:rsid w:val="001C6D75"/>
    <w:rsid w:val="001D4033"/>
    <w:rsid w:val="001D6D13"/>
    <w:rsid w:val="001D72F7"/>
    <w:rsid w:val="001D7D8B"/>
    <w:rsid w:val="001E1712"/>
    <w:rsid w:val="001E3DCA"/>
    <w:rsid w:val="001E4A05"/>
    <w:rsid w:val="001E5C18"/>
    <w:rsid w:val="001F04CF"/>
    <w:rsid w:val="001F21BD"/>
    <w:rsid w:val="001F4C89"/>
    <w:rsid w:val="00203EA4"/>
    <w:rsid w:val="0020579A"/>
    <w:rsid w:val="00205AF3"/>
    <w:rsid w:val="00206FCA"/>
    <w:rsid w:val="00211CD6"/>
    <w:rsid w:val="0021201E"/>
    <w:rsid w:val="002127BD"/>
    <w:rsid w:val="002155E7"/>
    <w:rsid w:val="00216FC0"/>
    <w:rsid w:val="00223172"/>
    <w:rsid w:val="002312C3"/>
    <w:rsid w:val="00233EEB"/>
    <w:rsid w:val="002347F6"/>
    <w:rsid w:val="00245F77"/>
    <w:rsid w:val="002461A8"/>
    <w:rsid w:val="002517E8"/>
    <w:rsid w:val="00252F83"/>
    <w:rsid w:val="002558EC"/>
    <w:rsid w:val="00257229"/>
    <w:rsid w:val="00262300"/>
    <w:rsid w:val="00263CEA"/>
    <w:rsid w:val="00264B4E"/>
    <w:rsid w:val="002663EB"/>
    <w:rsid w:val="002727EB"/>
    <w:rsid w:val="00275FBA"/>
    <w:rsid w:val="00281809"/>
    <w:rsid w:val="0028334C"/>
    <w:rsid w:val="002855D7"/>
    <w:rsid w:val="00285781"/>
    <w:rsid w:val="0028705F"/>
    <w:rsid w:val="00294183"/>
    <w:rsid w:val="002A0140"/>
    <w:rsid w:val="002A04AD"/>
    <w:rsid w:val="002A7D19"/>
    <w:rsid w:val="002B3535"/>
    <w:rsid w:val="002B3AF0"/>
    <w:rsid w:val="002B4F5C"/>
    <w:rsid w:val="002B5E8C"/>
    <w:rsid w:val="002C0C2D"/>
    <w:rsid w:val="002C7096"/>
    <w:rsid w:val="002D633D"/>
    <w:rsid w:val="002E1030"/>
    <w:rsid w:val="002E4F78"/>
    <w:rsid w:val="002E6F08"/>
    <w:rsid w:val="002F211C"/>
    <w:rsid w:val="002F45C6"/>
    <w:rsid w:val="002F4C43"/>
    <w:rsid w:val="002F6948"/>
    <w:rsid w:val="002F77B4"/>
    <w:rsid w:val="00300EB8"/>
    <w:rsid w:val="0030573D"/>
    <w:rsid w:val="00306237"/>
    <w:rsid w:val="003065EB"/>
    <w:rsid w:val="003125F6"/>
    <w:rsid w:val="0031268D"/>
    <w:rsid w:val="00314293"/>
    <w:rsid w:val="003163B7"/>
    <w:rsid w:val="00321867"/>
    <w:rsid w:val="00321D53"/>
    <w:rsid w:val="0032664E"/>
    <w:rsid w:val="003269F9"/>
    <w:rsid w:val="00327CBC"/>
    <w:rsid w:val="00334AD5"/>
    <w:rsid w:val="0034121A"/>
    <w:rsid w:val="0034557B"/>
    <w:rsid w:val="003475FA"/>
    <w:rsid w:val="003540DD"/>
    <w:rsid w:val="003622AD"/>
    <w:rsid w:val="00370573"/>
    <w:rsid w:val="00377E69"/>
    <w:rsid w:val="0038022E"/>
    <w:rsid w:val="00380C76"/>
    <w:rsid w:val="00380F24"/>
    <w:rsid w:val="00384921"/>
    <w:rsid w:val="003853C0"/>
    <w:rsid w:val="00386F35"/>
    <w:rsid w:val="00393726"/>
    <w:rsid w:val="003939FB"/>
    <w:rsid w:val="003A22BC"/>
    <w:rsid w:val="003A7325"/>
    <w:rsid w:val="003B0827"/>
    <w:rsid w:val="003B13CC"/>
    <w:rsid w:val="003B50EF"/>
    <w:rsid w:val="003C1C3D"/>
    <w:rsid w:val="003C6EA1"/>
    <w:rsid w:val="003D4812"/>
    <w:rsid w:val="003E02F0"/>
    <w:rsid w:val="003E13E6"/>
    <w:rsid w:val="003E169C"/>
    <w:rsid w:val="003E1F59"/>
    <w:rsid w:val="003E48EE"/>
    <w:rsid w:val="003E584A"/>
    <w:rsid w:val="003E6D8F"/>
    <w:rsid w:val="003E7E9C"/>
    <w:rsid w:val="004040F1"/>
    <w:rsid w:val="0041298C"/>
    <w:rsid w:val="00412E97"/>
    <w:rsid w:val="00414925"/>
    <w:rsid w:val="00416F91"/>
    <w:rsid w:val="004204A8"/>
    <w:rsid w:val="00420874"/>
    <w:rsid w:val="00421993"/>
    <w:rsid w:val="00426901"/>
    <w:rsid w:val="00430591"/>
    <w:rsid w:val="00433382"/>
    <w:rsid w:val="00433D12"/>
    <w:rsid w:val="004343B9"/>
    <w:rsid w:val="0043762B"/>
    <w:rsid w:val="0045100F"/>
    <w:rsid w:val="00452969"/>
    <w:rsid w:val="004540A3"/>
    <w:rsid w:val="004559B5"/>
    <w:rsid w:val="004764DC"/>
    <w:rsid w:val="004820E6"/>
    <w:rsid w:val="00484DB0"/>
    <w:rsid w:val="00486C35"/>
    <w:rsid w:val="00492063"/>
    <w:rsid w:val="00492943"/>
    <w:rsid w:val="00497FB3"/>
    <w:rsid w:val="004A0662"/>
    <w:rsid w:val="004A127F"/>
    <w:rsid w:val="004A294E"/>
    <w:rsid w:val="004C3DC2"/>
    <w:rsid w:val="004C63E5"/>
    <w:rsid w:val="004C6BF1"/>
    <w:rsid w:val="004D0478"/>
    <w:rsid w:val="004D0737"/>
    <w:rsid w:val="004D0FBE"/>
    <w:rsid w:val="004D13C5"/>
    <w:rsid w:val="004D1CD4"/>
    <w:rsid w:val="004D3210"/>
    <w:rsid w:val="004D6DEF"/>
    <w:rsid w:val="004E047D"/>
    <w:rsid w:val="004E4E12"/>
    <w:rsid w:val="004E53B4"/>
    <w:rsid w:val="004F5266"/>
    <w:rsid w:val="004F7E21"/>
    <w:rsid w:val="00505219"/>
    <w:rsid w:val="005072DD"/>
    <w:rsid w:val="00513D31"/>
    <w:rsid w:val="00516969"/>
    <w:rsid w:val="00517422"/>
    <w:rsid w:val="00517898"/>
    <w:rsid w:val="00517D9F"/>
    <w:rsid w:val="00521A13"/>
    <w:rsid w:val="00524CAC"/>
    <w:rsid w:val="00536934"/>
    <w:rsid w:val="00537D6D"/>
    <w:rsid w:val="0054123D"/>
    <w:rsid w:val="00542CFE"/>
    <w:rsid w:val="0054393D"/>
    <w:rsid w:val="00543A29"/>
    <w:rsid w:val="00545BA9"/>
    <w:rsid w:val="00552AE1"/>
    <w:rsid w:val="0056203E"/>
    <w:rsid w:val="00564E4A"/>
    <w:rsid w:val="00572CF5"/>
    <w:rsid w:val="00573305"/>
    <w:rsid w:val="00575302"/>
    <w:rsid w:val="00582F6D"/>
    <w:rsid w:val="00594602"/>
    <w:rsid w:val="0059691A"/>
    <w:rsid w:val="00597412"/>
    <w:rsid w:val="00597D46"/>
    <w:rsid w:val="005A4457"/>
    <w:rsid w:val="005A5781"/>
    <w:rsid w:val="005A6E35"/>
    <w:rsid w:val="005A74A5"/>
    <w:rsid w:val="005B1F8D"/>
    <w:rsid w:val="005B413D"/>
    <w:rsid w:val="005B704C"/>
    <w:rsid w:val="005B74BD"/>
    <w:rsid w:val="005C0C35"/>
    <w:rsid w:val="005C7031"/>
    <w:rsid w:val="005C7F17"/>
    <w:rsid w:val="005D3B19"/>
    <w:rsid w:val="005E711B"/>
    <w:rsid w:val="005F0F9E"/>
    <w:rsid w:val="005F1813"/>
    <w:rsid w:val="005F3172"/>
    <w:rsid w:val="005F3BE2"/>
    <w:rsid w:val="005F6D0B"/>
    <w:rsid w:val="006077E4"/>
    <w:rsid w:val="006114FF"/>
    <w:rsid w:val="0061357A"/>
    <w:rsid w:val="00614EBF"/>
    <w:rsid w:val="00621B6D"/>
    <w:rsid w:val="00625361"/>
    <w:rsid w:val="006270C0"/>
    <w:rsid w:val="00632401"/>
    <w:rsid w:val="00635AC0"/>
    <w:rsid w:val="00640DBA"/>
    <w:rsid w:val="006428D6"/>
    <w:rsid w:val="006432AE"/>
    <w:rsid w:val="00647009"/>
    <w:rsid w:val="00660B66"/>
    <w:rsid w:val="0066768F"/>
    <w:rsid w:val="006705C8"/>
    <w:rsid w:val="00670B8C"/>
    <w:rsid w:val="0067221F"/>
    <w:rsid w:val="0067553D"/>
    <w:rsid w:val="00675892"/>
    <w:rsid w:val="00676578"/>
    <w:rsid w:val="00681F03"/>
    <w:rsid w:val="006852C0"/>
    <w:rsid w:val="00692E5B"/>
    <w:rsid w:val="00692F5B"/>
    <w:rsid w:val="00696CD9"/>
    <w:rsid w:val="006A387E"/>
    <w:rsid w:val="006A461E"/>
    <w:rsid w:val="006A4B44"/>
    <w:rsid w:val="006A5D54"/>
    <w:rsid w:val="006A6A6B"/>
    <w:rsid w:val="006B02D5"/>
    <w:rsid w:val="006B11FA"/>
    <w:rsid w:val="006B63B1"/>
    <w:rsid w:val="006B7826"/>
    <w:rsid w:val="006C1110"/>
    <w:rsid w:val="006C285D"/>
    <w:rsid w:val="006C6845"/>
    <w:rsid w:val="006D1320"/>
    <w:rsid w:val="006D311A"/>
    <w:rsid w:val="006D3D05"/>
    <w:rsid w:val="006D6CB4"/>
    <w:rsid w:val="006E131C"/>
    <w:rsid w:val="006E37E7"/>
    <w:rsid w:val="006E40A9"/>
    <w:rsid w:val="006F5DD4"/>
    <w:rsid w:val="0070004B"/>
    <w:rsid w:val="00713B2E"/>
    <w:rsid w:val="0071686D"/>
    <w:rsid w:val="00716D84"/>
    <w:rsid w:val="00726BA1"/>
    <w:rsid w:val="00730055"/>
    <w:rsid w:val="007302BA"/>
    <w:rsid w:val="0073265D"/>
    <w:rsid w:val="007466F0"/>
    <w:rsid w:val="007501BB"/>
    <w:rsid w:val="007512FA"/>
    <w:rsid w:val="00756825"/>
    <w:rsid w:val="00760C82"/>
    <w:rsid w:val="007638CE"/>
    <w:rsid w:val="007709A4"/>
    <w:rsid w:val="00772E45"/>
    <w:rsid w:val="00783A46"/>
    <w:rsid w:val="00783F5D"/>
    <w:rsid w:val="00785995"/>
    <w:rsid w:val="0079329E"/>
    <w:rsid w:val="007938F0"/>
    <w:rsid w:val="007A0008"/>
    <w:rsid w:val="007A2082"/>
    <w:rsid w:val="007A2D3B"/>
    <w:rsid w:val="007B007C"/>
    <w:rsid w:val="007B0994"/>
    <w:rsid w:val="007B5711"/>
    <w:rsid w:val="007B65F7"/>
    <w:rsid w:val="007C19A1"/>
    <w:rsid w:val="007C59EC"/>
    <w:rsid w:val="007C79A3"/>
    <w:rsid w:val="007C7A01"/>
    <w:rsid w:val="007D13A1"/>
    <w:rsid w:val="007D43DE"/>
    <w:rsid w:val="007E16E1"/>
    <w:rsid w:val="007E2ACB"/>
    <w:rsid w:val="007E67E2"/>
    <w:rsid w:val="007F67F3"/>
    <w:rsid w:val="00800B9C"/>
    <w:rsid w:val="0080531B"/>
    <w:rsid w:val="0080658A"/>
    <w:rsid w:val="008109BA"/>
    <w:rsid w:val="008255A7"/>
    <w:rsid w:val="0082599F"/>
    <w:rsid w:val="00826606"/>
    <w:rsid w:val="00831A5A"/>
    <w:rsid w:val="00834927"/>
    <w:rsid w:val="00834D81"/>
    <w:rsid w:val="00835311"/>
    <w:rsid w:val="00836163"/>
    <w:rsid w:val="00846BB9"/>
    <w:rsid w:val="0085531E"/>
    <w:rsid w:val="00856281"/>
    <w:rsid w:val="008612CE"/>
    <w:rsid w:val="00871C68"/>
    <w:rsid w:val="008746BB"/>
    <w:rsid w:val="00876D13"/>
    <w:rsid w:val="008804E2"/>
    <w:rsid w:val="00882E69"/>
    <w:rsid w:val="008908CF"/>
    <w:rsid w:val="00892CB4"/>
    <w:rsid w:val="00893B78"/>
    <w:rsid w:val="0089438A"/>
    <w:rsid w:val="0089775C"/>
    <w:rsid w:val="008A3FAC"/>
    <w:rsid w:val="008A4F1D"/>
    <w:rsid w:val="008B1FB5"/>
    <w:rsid w:val="008B6632"/>
    <w:rsid w:val="008C2FEB"/>
    <w:rsid w:val="008C5FB9"/>
    <w:rsid w:val="008C6E78"/>
    <w:rsid w:val="008D02EE"/>
    <w:rsid w:val="008D4565"/>
    <w:rsid w:val="008E1589"/>
    <w:rsid w:val="008E272F"/>
    <w:rsid w:val="008E3A36"/>
    <w:rsid w:val="008F2F14"/>
    <w:rsid w:val="008F4CDA"/>
    <w:rsid w:val="008F6181"/>
    <w:rsid w:val="0090347D"/>
    <w:rsid w:val="00906049"/>
    <w:rsid w:val="0090625D"/>
    <w:rsid w:val="009066A0"/>
    <w:rsid w:val="00906B54"/>
    <w:rsid w:val="009104E1"/>
    <w:rsid w:val="00912423"/>
    <w:rsid w:val="00913B08"/>
    <w:rsid w:val="009237C7"/>
    <w:rsid w:val="00925D32"/>
    <w:rsid w:val="009345B2"/>
    <w:rsid w:val="009453A3"/>
    <w:rsid w:val="00946F96"/>
    <w:rsid w:val="0095356E"/>
    <w:rsid w:val="00961019"/>
    <w:rsid w:val="00963D3D"/>
    <w:rsid w:val="0097121A"/>
    <w:rsid w:val="009712B1"/>
    <w:rsid w:val="009715FD"/>
    <w:rsid w:val="00973E8B"/>
    <w:rsid w:val="00974A90"/>
    <w:rsid w:val="00980A55"/>
    <w:rsid w:val="00984FB8"/>
    <w:rsid w:val="0099003D"/>
    <w:rsid w:val="0099381B"/>
    <w:rsid w:val="009A1EA4"/>
    <w:rsid w:val="009A1F44"/>
    <w:rsid w:val="009A4952"/>
    <w:rsid w:val="009B0845"/>
    <w:rsid w:val="009B2A3F"/>
    <w:rsid w:val="009B527B"/>
    <w:rsid w:val="009C01F2"/>
    <w:rsid w:val="009C1DE9"/>
    <w:rsid w:val="009D1631"/>
    <w:rsid w:val="009D1AEE"/>
    <w:rsid w:val="009D40E3"/>
    <w:rsid w:val="009D518E"/>
    <w:rsid w:val="009E48AD"/>
    <w:rsid w:val="009F143F"/>
    <w:rsid w:val="00A00D47"/>
    <w:rsid w:val="00A0163C"/>
    <w:rsid w:val="00A01DB7"/>
    <w:rsid w:val="00A03167"/>
    <w:rsid w:val="00A0394D"/>
    <w:rsid w:val="00A07324"/>
    <w:rsid w:val="00A1019B"/>
    <w:rsid w:val="00A20ECD"/>
    <w:rsid w:val="00A22548"/>
    <w:rsid w:val="00A36B4F"/>
    <w:rsid w:val="00A37AF6"/>
    <w:rsid w:val="00A41975"/>
    <w:rsid w:val="00A45AF6"/>
    <w:rsid w:val="00A502F8"/>
    <w:rsid w:val="00A50F2B"/>
    <w:rsid w:val="00A5231E"/>
    <w:rsid w:val="00A52AE0"/>
    <w:rsid w:val="00A5393D"/>
    <w:rsid w:val="00A53CB0"/>
    <w:rsid w:val="00A549CD"/>
    <w:rsid w:val="00A55FEC"/>
    <w:rsid w:val="00A6437E"/>
    <w:rsid w:val="00A70A42"/>
    <w:rsid w:val="00A71244"/>
    <w:rsid w:val="00A73DA4"/>
    <w:rsid w:val="00A76864"/>
    <w:rsid w:val="00A831C2"/>
    <w:rsid w:val="00A956C6"/>
    <w:rsid w:val="00A96A47"/>
    <w:rsid w:val="00AA0C4F"/>
    <w:rsid w:val="00AB00E8"/>
    <w:rsid w:val="00AB3888"/>
    <w:rsid w:val="00AB78E1"/>
    <w:rsid w:val="00AC14C8"/>
    <w:rsid w:val="00AC2005"/>
    <w:rsid w:val="00AC210E"/>
    <w:rsid w:val="00AC5322"/>
    <w:rsid w:val="00AD2CC3"/>
    <w:rsid w:val="00AD5A04"/>
    <w:rsid w:val="00AD6AA8"/>
    <w:rsid w:val="00AE47B0"/>
    <w:rsid w:val="00AE5609"/>
    <w:rsid w:val="00AF2237"/>
    <w:rsid w:val="00AF22B4"/>
    <w:rsid w:val="00AF2BBF"/>
    <w:rsid w:val="00AF5D60"/>
    <w:rsid w:val="00AF7301"/>
    <w:rsid w:val="00B0249E"/>
    <w:rsid w:val="00B02759"/>
    <w:rsid w:val="00B05EF4"/>
    <w:rsid w:val="00B06754"/>
    <w:rsid w:val="00B10275"/>
    <w:rsid w:val="00B133C2"/>
    <w:rsid w:val="00B1465B"/>
    <w:rsid w:val="00B16653"/>
    <w:rsid w:val="00B16C03"/>
    <w:rsid w:val="00B21ED3"/>
    <w:rsid w:val="00B2357F"/>
    <w:rsid w:val="00B2369C"/>
    <w:rsid w:val="00B27288"/>
    <w:rsid w:val="00B32671"/>
    <w:rsid w:val="00B36A0B"/>
    <w:rsid w:val="00B37FB4"/>
    <w:rsid w:val="00B42C14"/>
    <w:rsid w:val="00B4307C"/>
    <w:rsid w:val="00B45796"/>
    <w:rsid w:val="00B470E3"/>
    <w:rsid w:val="00B52783"/>
    <w:rsid w:val="00B55B12"/>
    <w:rsid w:val="00B62337"/>
    <w:rsid w:val="00B754D4"/>
    <w:rsid w:val="00B755AD"/>
    <w:rsid w:val="00B777B5"/>
    <w:rsid w:val="00B80E16"/>
    <w:rsid w:val="00B826D1"/>
    <w:rsid w:val="00B82BA6"/>
    <w:rsid w:val="00B83010"/>
    <w:rsid w:val="00B83B53"/>
    <w:rsid w:val="00B83E49"/>
    <w:rsid w:val="00B91805"/>
    <w:rsid w:val="00B96BD2"/>
    <w:rsid w:val="00B96D53"/>
    <w:rsid w:val="00B970DD"/>
    <w:rsid w:val="00B97B58"/>
    <w:rsid w:val="00BA5EA8"/>
    <w:rsid w:val="00BA7E35"/>
    <w:rsid w:val="00BB2248"/>
    <w:rsid w:val="00BB3D1D"/>
    <w:rsid w:val="00BB45D6"/>
    <w:rsid w:val="00BB5D74"/>
    <w:rsid w:val="00BC2CF3"/>
    <w:rsid w:val="00BC3B49"/>
    <w:rsid w:val="00BC5228"/>
    <w:rsid w:val="00BC5F44"/>
    <w:rsid w:val="00BC6E06"/>
    <w:rsid w:val="00BD144F"/>
    <w:rsid w:val="00BD165B"/>
    <w:rsid w:val="00BD1D1F"/>
    <w:rsid w:val="00BD5A22"/>
    <w:rsid w:val="00BD5CF7"/>
    <w:rsid w:val="00BD6046"/>
    <w:rsid w:val="00BD6D55"/>
    <w:rsid w:val="00BD7110"/>
    <w:rsid w:val="00BE2BF9"/>
    <w:rsid w:val="00BF0490"/>
    <w:rsid w:val="00C00FD0"/>
    <w:rsid w:val="00C02A6F"/>
    <w:rsid w:val="00C03DC6"/>
    <w:rsid w:val="00C04AFB"/>
    <w:rsid w:val="00C05173"/>
    <w:rsid w:val="00C0560C"/>
    <w:rsid w:val="00C1408A"/>
    <w:rsid w:val="00C144BF"/>
    <w:rsid w:val="00C17C2B"/>
    <w:rsid w:val="00C203DD"/>
    <w:rsid w:val="00C22824"/>
    <w:rsid w:val="00C23A04"/>
    <w:rsid w:val="00C241E0"/>
    <w:rsid w:val="00C24EB3"/>
    <w:rsid w:val="00C359CC"/>
    <w:rsid w:val="00C409FC"/>
    <w:rsid w:val="00C44CDE"/>
    <w:rsid w:val="00C45A94"/>
    <w:rsid w:val="00C46879"/>
    <w:rsid w:val="00C4743E"/>
    <w:rsid w:val="00C51442"/>
    <w:rsid w:val="00C518EB"/>
    <w:rsid w:val="00C551E9"/>
    <w:rsid w:val="00C628E5"/>
    <w:rsid w:val="00C63DB4"/>
    <w:rsid w:val="00C6686F"/>
    <w:rsid w:val="00C770C4"/>
    <w:rsid w:val="00C817F6"/>
    <w:rsid w:val="00C822BE"/>
    <w:rsid w:val="00C85734"/>
    <w:rsid w:val="00C90F9D"/>
    <w:rsid w:val="00CA301B"/>
    <w:rsid w:val="00CA5062"/>
    <w:rsid w:val="00CA71C7"/>
    <w:rsid w:val="00CB0A1E"/>
    <w:rsid w:val="00CB1163"/>
    <w:rsid w:val="00CB249B"/>
    <w:rsid w:val="00CB2EA0"/>
    <w:rsid w:val="00CB7392"/>
    <w:rsid w:val="00CC0FCA"/>
    <w:rsid w:val="00CC1371"/>
    <w:rsid w:val="00CC1456"/>
    <w:rsid w:val="00CC342C"/>
    <w:rsid w:val="00CC486D"/>
    <w:rsid w:val="00CC5882"/>
    <w:rsid w:val="00CC7899"/>
    <w:rsid w:val="00CD3A89"/>
    <w:rsid w:val="00CD62EA"/>
    <w:rsid w:val="00CD7AFD"/>
    <w:rsid w:val="00CE5886"/>
    <w:rsid w:val="00CF111D"/>
    <w:rsid w:val="00CF19D2"/>
    <w:rsid w:val="00CF3168"/>
    <w:rsid w:val="00CF7793"/>
    <w:rsid w:val="00D046A6"/>
    <w:rsid w:val="00D0774B"/>
    <w:rsid w:val="00D15268"/>
    <w:rsid w:val="00D15ABD"/>
    <w:rsid w:val="00D16C35"/>
    <w:rsid w:val="00D30976"/>
    <w:rsid w:val="00D4037B"/>
    <w:rsid w:val="00D42461"/>
    <w:rsid w:val="00D44789"/>
    <w:rsid w:val="00D47B8D"/>
    <w:rsid w:val="00D5241A"/>
    <w:rsid w:val="00D53DAF"/>
    <w:rsid w:val="00D556E9"/>
    <w:rsid w:val="00D55EAD"/>
    <w:rsid w:val="00D66342"/>
    <w:rsid w:val="00D6666B"/>
    <w:rsid w:val="00D71841"/>
    <w:rsid w:val="00D7670D"/>
    <w:rsid w:val="00D80045"/>
    <w:rsid w:val="00D8245A"/>
    <w:rsid w:val="00D87D56"/>
    <w:rsid w:val="00D90407"/>
    <w:rsid w:val="00D90C90"/>
    <w:rsid w:val="00D9241B"/>
    <w:rsid w:val="00D94321"/>
    <w:rsid w:val="00D96018"/>
    <w:rsid w:val="00D974BB"/>
    <w:rsid w:val="00D975ED"/>
    <w:rsid w:val="00DA00DE"/>
    <w:rsid w:val="00DA1390"/>
    <w:rsid w:val="00DA5DB3"/>
    <w:rsid w:val="00DA6881"/>
    <w:rsid w:val="00DB1759"/>
    <w:rsid w:val="00DB416C"/>
    <w:rsid w:val="00DC0CCF"/>
    <w:rsid w:val="00DC2FB8"/>
    <w:rsid w:val="00DC566F"/>
    <w:rsid w:val="00DC696F"/>
    <w:rsid w:val="00DC7244"/>
    <w:rsid w:val="00DD0876"/>
    <w:rsid w:val="00DE1458"/>
    <w:rsid w:val="00DE2760"/>
    <w:rsid w:val="00DE2FA1"/>
    <w:rsid w:val="00DE3E12"/>
    <w:rsid w:val="00DF292E"/>
    <w:rsid w:val="00E04365"/>
    <w:rsid w:val="00E06A43"/>
    <w:rsid w:val="00E1072E"/>
    <w:rsid w:val="00E10B7E"/>
    <w:rsid w:val="00E11F6E"/>
    <w:rsid w:val="00E123AC"/>
    <w:rsid w:val="00E13561"/>
    <w:rsid w:val="00E14C28"/>
    <w:rsid w:val="00E232A1"/>
    <w:rsid w:val="00E26C63"/>
    <w:rsid w:val="00E27DC5"/>
    <w:rsid w:val="00E34B64"/>
    <w:rsid w:val="00E4196C"/>
    <w:rsid w:val="00E60FAF"/>
    <w:rsid w:val="00E64DCB"/>
    <w:rsid w:val="00E70837"/>
    <w:rsid w:val="00E71A13"/>
    <w:rsid w:val="00E82113"/>
    <w:rsid w:val="00E85C7B"/>
    <w:rsid w:val="00E8617A"/>
    <w:rsid w:val="00E90119"/>
    <w:rsid w:val="00E92193"/>
    <w:rsid w:val="00E9390C"/>
    <w:rsid w:val="00E95422"/>
    <w:rsid w:val="00E97CC9"/>
    <w:rsid w:val="00EA2BE8"/>
    <w:rsid w:val="00EA454E"/>
    <w:rsid w:val="00EC0860"/>
    <w:rsid w:val="00EE5EE5"/>
    <w:rsid w:val="00EF1A7B"/>
    <w:rsid w:val="00F027FC"/>
    <w:rsid w:val="00F02EC0"/>
    <w:rsid w:val="00F057FF"/>
    <w:rsid w:val="00F06ACE"/>
    <w:rsid w:val="00F13F7F"/>
    <w:rsid w:val="00F147F4"/>
    <w:rsid w:val="00F17C9B"/>
    <w:rsid w:val="00F22148"/>
    <w:rsid w:val="00F27D38"/>
    <w:rsid w:val="00F30995"/>
    <w:rsid w:val="00F31DB1"/>
    <w:rsid w:val="00F33334"/>
    <w:rsid w:val="00F374B3"/>
    <w:rsid w:val="00F409B2"/>
    <w:rsid w:val="00F40AD0"/>
    <w:rsid w:val="00F40D60"/>
    <w:rsid w:val="00F44793"/>
    <w:rsid w:val="00F54BEB"/>
    <w:rsid w:val="00F5606E"/>
    <w:rsid w:val="00F569C7"/>
    <w:rsid w:val="00F608A3"/>
    <w:rsid w:val="00F628BA"/>
    <w:rsid w:val="00F66329"/>
    <w:rsid w:val="00F66420"/>
    <w:rsid w:val="00F67B1B"/>
    <w:rsid w:val="00F67D19"/>
    <w:rsid w:val="00F7137B"/>
    <w:rsid w:val="00F73560"/>
    <w:rsid w:val="00F74120"/>
    <w:rsid w:val="00F8383E"/>
    <w:rsid w:val="00F86E31"/>
    <w:rsid w:val="00F87770"/>
    <w:rsid w:val="00F92DA1"/>
    <w:rsid w:val="00F95B27"/>
    <w:rsid w:val="00FA0748"/>
    <w:rsid w:val="00FA1EBA"/>
    <w:rsid w:val="00FA25C4"/>
    <w:rsid w:val="00FA2DB0"/>
    <w:rsid w:val="00FA2DC8"/>
    <w:rsid w:val="00FA37D2"/>
    <w:rsid w:val="00FB3378"/>
    <w:rsid w:val="00FC6332"/>
    <w:rsid w:val="00FC7115"/>
    <w:rsid w:val="00FC7417"/>
    <w:rsid w:val="00FD243D"/>
    <w:rsid w:val="00FD3D63"/>
    <w:rsid w:val="00FD44AD"/>
    <w:rsid w:val="00FD5C45"/>
    <w:rsid w:val="00FD7905"/>
    <w:rsid w:val="00FE0FE2"/>
    <w:rsid w:val="00FF1D3F"/>
    <w:rsid w:val="00FF1F89"/>
    <w:rsid w:val="00FF382C"/>
    <w:rsid w:val="00FF3A83"/>
    <w:rsid w:val="00FF45E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6"/>
    <w:rPr>
      <w:sz w:val="24"/>
      <w:szCs w:val="24"/>
      <w:lang w:val="en-GB"/>
    </w:rPr>
  </w:style>
  <w:style w:type="paragraph" w:styleId="Heading1">
    <w:name w:val="heading 1"/>
    <w:basedOn w:val="Normal"/>
    <w:next w:val="Normal"/>
    <w:link w:val="Heading1Char"/>
    <w:qFormat/>
    <w:rsid w:val="00DD0876"/>
    <w:pPr>
      <w:keepNext/>
      <w:spacing w:line="300" w:lineRule="atLeast"/>
      <w:jc w:val="center"/>
      <w:outlineLvl w:val="0"/>
    </w:pPr>
    <w:rPr>
      <w:rFonts w:ascii="CG Times (PCL6)" w:hAnsi="CG Times (PCL6)"/>
      <w:b/>
      <w:bCs/>
      <w:snapToGrid w:val="0"/>
      <w:sz w:val="22"/>
      <w:szCs w:val="22"/>
    </w:rPr>
  </w:style>
  <w:style w:type="paragraph" w:styleId="Heading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876"/>
    <w:rPr>
      <w:color w:val="0000FF"/>
      <w:u w:val="single"/>
    </w:rPr>
  </w:style>
  <w:style w:type="paragraph" w:styleId="Header">
    <w:name w:val="header"/>
    <w:basedOn w:val="Normal"/>
    <w:rsid w:val="00DD0876"/>
    <w:pPr>
      <w:tabs>
        <w:tab w:val="center" w:pos="4536"/>
        <w:tab w:val="right" w:pos="9072"/>
      </w:tabs>
    </w:pPr>
    <w:rPr>
      <w:sz w:val="20"/>
      <w:szCs w:val="20"/>
    </w:rPr>
  </w:style>
  <w:style w:type="paragraph" w:styleId="Footer">
    <w:name w:val="footer"/>
    <w:basedOn w:val="Normal"/>
    <w:link w:val="FooterChar"/>
    <w:rsid w:val="00DD0876"/>
    <w:pPr>
      <w:tabs>
        <w:tab w:val="center" w:pos="4536"/>
        <w:tab w:val="right" w:pos="9072"/>
      </w:tabs>
    </w:pPr>
  </w:style>
  <w:style w:type="character" w:styleId="FollowedHyperlink">
    <w:name w:val="FollowedHyperlink"/>
    <w:basedOn w:val="DefaultParagraphFont"/>
    <w:rsid w:val="00DD0876"/>
    <w:rPr>
      <w:color w:val="800080"/>
      <w:u w:val="single"/>
    </w:rPr>
  </w:style>
  <w:style w:type="paragraph" w:styleId="BodyText">
    <w:name w:val="Body Text"/>
    <w:basedOn w:val="Normal"/>
    <w:rsid w:val="00DD0876"/>
    <w:pPr>
      <w:jc w:val="both"/>
    </w:pPr>
    <w:rPr>
      <w:rFonts w:ascii="Arial Narrow" w:hAnsi="Arial Narrow"/>
      <w:snapToGrid w:val="0"/>
      <w:sz w:val="22"/>
      <w:szCs w:val="22"/>
    </w:rPr>
  </w:style>
  <w:style w:type="paragraph" w:styleId="BodyTextIndent">
    <w:name w:val="Body Text Indent"/>
    <w:basedOn w:val="Normal"/>
    <w:rsid w:val="00DD0876"/>
    <w:pPr>
      <w:spacing w:after="120"/>
      <w:ind w:left="283"/>
    </w:pPr>
  </w:style>
  <w:style w:type="paragraph" w:styleId="BodyText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FootnoteText">
    <w:name w:val="footnote text"/>
    <w:aliases w:val="Char, Char"/>
    <w:basedOn w:val="Normal"/>
    <w:link w:val="FootnoteTextChar"/>
    <w:qFormat/>
    <w:rsid w:val="00D556E9"/>
    <w:rPr>
      <w:sz w:val="20"/>
      <w:szCs w:val="20"/>
    </w:rPr>
  </w:style>
  <w:style w:type="character" w:styleId="FootnoteReference">
    <w:name w:val="footnote reference"/>
    <w:basedOn w:val="DefaultParagraphFont"/>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FooterChar">
    <w:name w:val="Footer Char"/>
    <w:link w:val="Footer"/>
    <w:rsid w:val="00117F29"/>
    <w:rPr>
      <w:sz w:val="24"/>
      <w:szCs w:val="24"/>
      <w:lang w:val="en-GB"/>
    </w:rPr>
  </w:style>
  <w:style w:type="character" w:customStyle="1" w:styleId="Heading1Char">
    <w:name w:val="Heading 1 Char"/>
    <w:basedOn w:val="DefaultParagraphFont"/>
    <w:link w:val="Heading1"/>
    <w:rsid w:val="003269F9"/>
    <w:rPr>
      <w:rFonts w:ascii="CG Times (PCL6)" w:hAnsi="CG Times (PCL6)"/>
      <w:b/>
      <w:bCs/>
      <w:snapToGrid w:val="0"/>
      <w:sz w:val="22"/>
      <w:szCs w:val="22"/>
      <w:lang w:val="en-GB"/>
    </w:rPr>
  </w:style>
  <w:style w:type="character" w:styleId="CommentReference">
    <w:name w:val="annotation reference"/>
    <w:basedOn w:val="DefaultParagraphFont"/>
    <w:uiPriority w:val="99"/>
    <w:unhideWhenUsed/>
    <w:rsid w:val="00772E45"/>
    <w:rPr>
      <w:sz w:val="16"/>
      <w:szCs w:val="16"/>
    </w:rPr>
  </w:style>
  <w:style w:type="paragraph" w:styleId="CommentText">
    <w:name w:val="annotation text"/>
    <w:basedOn w:val="Normal"/>
    <w:link w:val="CommentTextCh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TextChar">
    <w:name w:val="Comment Text Char"/>
    <w:basedOn w:val="DefaultParagraphFont"/>
    <w:link w:val="CommentText"/>
    <w:uiPriority w:val="99"/>
    <w:rsid w:val="00772E45"/>
    <w:rPr>
      <w:rFonts w:ascii="Calibri" w:eastAsiaTheme="minorHAnsi" w:hAnsi="Calibri" w:cstheme="minorBidi"/>
      <w:sz w:val="22"/>
      <w:szCs w:val="22"/>
      <w:lang w:val="en-GB" w:eastAsia="en-US"/>
    </w:rPr>
  </w:style>
  <w:style w:type="paragraph" w:styleId="BalloonText">
    <w:name w:val="Balloon Text"/>
    <w:basedOn w:val="Normal"/>
    <w:link w:val="BalloonTextChar"/>
    <w:rsid w:val="00772E45"/>
    <w:rPr>
      <w:rFonts w:ascii="Tahoma" w:hAnsi="Tahoma" w:cs="Tahoma"/>
      <w:sz w:val="16"/>
      <w:szCs w:val="16"/>
    </w:rPr>
  </w:style>
  <w:style w:type="character" w:customStyle="1" w:styleId="BalloonTextChar">
    <w:name w:val="Balloon Text Char"/>
    <w:basedOn w:val="DefaultParagraphFont"/>
    <w:link w:val="BalloonText"/>
    <w:rsid w:val="00772E45"/>
    <w:rPr>
      <w:rFonts w:ascii="Tahoma" w:hAnsi="Tahoma" w:cs="Tahoma"/>
      <w:sz w:val="16"/>
      <w:szCs w:val="16"/>
      <w:lang w:val="en-GB"/>
    </w:rPr>
  </w:style>
  <w:style w:type="paragraph" w:styleId="ListParagraph">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CommentSubject">
    <w:name w:val="annotation subject"/>
    <w:basedOn w:val="CommentText"/>
    <w:next w:val="CommentText"/>
    <w:link w:val="CommentSubjectCh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CommentSubjectChar">
    <w:name w:val="Comment Subject Char"/>
    <w:basedOn w:val="CommentTextChar"/>
    <w:link w:val="CommentSubject"/>
    <w:rsid w:val="00170F43"/>
    <w:rPr>
      <w:rFonts w:ascii="Calibri" w:eastAsiaTheme="minorHAnsi" w:hAnsi="Calibri" w:cstheme="minorBidi"/>
      <w:b/>
      <w:bCs/>
      <w:sz w:val="22"/>
      <w:szCs w:val="22"/>
      <w:lang w:val="en-GB" w:eastAsia="en-US"/>
    </w:rPr>
  </w:style>
  <w:style w:type="paragraph" w:styleId="EndnoteText">
    <w:name w:val="endnote text"/>
    <w:basedOn w:val="Normal"/>
    <w:link w:val="EndnoteTextChar"/>
    <w:rsid w:val="00FD243D"/>
    <w:rPr>
      <w:sz w:val="20"/>
      <w:szCs w:val="20"/>
    </w:rPr>
  </w:style>
  <w:style w:type="character" w:customStyle="1" w:styleId="EndnoteTextChar">
    <w:name w:val="Endnote Text Char"/>
    <w:basedOn w:val="DefaultParagraphFont"/>
    <w:link w:val="EndnoteText"/>
    <w:rsid w:val="00FD243D"/>
    <w:rPr>
      <w:lang w:val="en-GB"/>
    </w:rPr>
  </w:style>
  <w:style w:type="character" w:styleId="EndnoteReference">
    <w:name w:val="endnote reference"/>
    <w:basedOn w:val="DefaultParagraphFont"/>
    <w:rsid w:val="00FD243D"/>
    <w:rPr>
      <w:vertAlign w:val="superscript"/>
    </w:rPr>
  </w:style>
  <w:style w:type="character" w:customStyle="1" w:styleId="bumpedfont15">
    <w:name w:val="bumpedfont15"/>
    <w:basedOn w:val="DefaultParagraphFont"/>
    <w:rsid w:val="00D6666B"/>
  </w:style>
  <w:style w:type="character" w:customStyle="1" w:styleId="FootnoteTextChar">
    <w:name w:val="Footnote Text Char"/>
    <w:aliases w:val="Char Char, Char Char"/>
    <w:basedOn w:val="DefaultParagraphFont"/>
    <w:link w:val="FootnoteText"/>
    <w:rsid w:val="00DA5DB3"/>
    <w:rPr>
      <w:lang w:val="en-GB"/>
    </w:rPr>
  </w:style>
  <w:style w:type="paragraph" w:styleId="Revision">
    <w:name w:val="Revision"/>
    <w:hidden/>
    <w:uiPriority w:val="99"/>
    <w:semiHidden/>
    <w:rsid w:val="00974A90"/>
    <w:rPr>
      <w:sz w:val="24"/>
      <w:szCs w:val="24"/>
      <w:lang w:val="en-GB"/>
    </w:rPr>
  </w:style>
</w:styles>
</file>

<file path=word/webSettings.xml><?xml version="1.0" encoding="utf-8"?>
<w:webSettings xmlns:r="http://schemas.openxmlformats.org/officeDocument/2006/relationships" xmlns:w="http://schemas.openxmlformats.org/wordprocessingml/2006/main">
  <w:divs>
    <w:div w:id="5616978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386536065">
      <w:bodyDiv w:val="1"/>
      <w:marLeft w:val="0"/>
      <w:marRight w:val="0"/>
      <w:marTop w:val="0"/>
      <w:marBottom w:val="0"/>
      <w:divBdr>
        <w:top w:val="none" w:sz="0" w:space="0" w:color="auto"/>
        <w:left w:val="none" w:sz="0" w:space="0" w:color="auto"/>
        <w:bottom w:val="none" w:sz="0" w:space="0" w:color="auto"/>
        <w:right w:val="none" w:sz="0" w:space="0" w:color="auto"/>
      </w:divBdr>
    </w:div>
    <w:div w:id="453449381">
      <w:bodyDiv w:val="1"/>
      <w:marLeft w:val="0"/>
      <w:marRight w:val="0"/>
      <w:marTop w:val="0"/>
      <w:marBottom w:val="0"/>
      <w:divBdr>
        <w:top w:val="none" w:sz="0" w:space="0" w:color="auto"/>
        <w:left w:val="none" w:sz="0" w:space="0" w:color="auto"/>
        <w:bottom w:val="none" w:sz="0" w:space="0" w:color="auto"/>
        <w:right w:val="none" w:sz="0" w:space="0" w:color="auto"/>
      </w:divBdr>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618">
      <w:bodyDiv w:val="1"/>
      <w:marLeft w:val="0"/>
      <w:marRight w:val="0"/>
      <w:marTop w:val="0"/>
      <w:marBottom w:val="0"/>
      <w:divBdr>
        <w:top w:val="none" w:sz="0" w:space="0" w:color="auto"/>
        <w:left w:val="none" w:sz="0" w:space="0" w:color="auto"/>
        <w:bottom w:val="none" w:sz="0" w:space="0" w:color="auto"/>
        <w:right w:val="none" w:sz="0" w:space="0" w:color="auto"/>
      </w:divBdr>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2309">
      <w:bodyDiv w:val="1"/>
      <w:marLeft w:val="0"/>
      <w:marRight w:val="0"/>
      <w:marTop w:val="0"/>
      <w:marBottom w:val="0"/>
      <w:divBdr>
        <w:top w:val="none" w:sz="0" w:space="0" w:color="auto"/>
        <w:left w:val="none" w:sz="0" w:space="0" w:color="auto"/>
        <w:bottom w:val="none" w:sz="0" w:space="0" w:color="auto"/>
        <w:right w:val="none" w:sz="0" w:space="0" w:color="auto"/>
      </w:divBdr>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57694826">
      <w:bodyDiv w:val="1"/>
      <w:marLeft w:val="0"/>
      <w:marRight w:val="0"/>
      <w:marTop w:val="0"/>
      <w:marBottom w:val="0"/>
      <w:divBdr>
        <w:top w:val="none" w:sz="0" w:space="0" w:color="auto"/>
        <w:left w:val="none" w:sz="0" w:space="0" w:color="auto"/>
        <w:bottom w:val="none" w:sz="0" w:space="0" w:color="auto"/>
        <w:right w:val="none" w:sz="0" w:space="0" w:color="auto"/>
      </w:divBdr>
    </w:div>
    <w:div w:id="1997605648">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sk.edhec.edu" TargetMode="External"/><Relationship Id="rId18" Type="http://schemas.openxmlformats.org/officeDocument/2006/relationships/hyperlink" Target="https://www.linkedin.com/company-beta/732914?pathWildcard=732914"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openxmlformats.org/officeDocument/2006/relationships/hyperlink" Target="http://www.amund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isk.edhec.edu/edhec-risk-investment-solutions" TargetMode="External"/><Relationship Id="rId20" Type="http://schemas.openxmlformats.org/officeDocument/2006/relationships/hyperlink" Target="https://twitter.com/Amundi_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isk.edhec.edu/bond-risk-premium-monitor" TargetMode="External"/><Relationship Id="rId23"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ocs.edhec-risk.com/mrk/000000/Press/EDHEC_Eur_ETF_SmartBeta_Factor_Investing_Survey_2018.pdf" TargetMode="External"/><Relationship Id="rId14" Type="http://schemas.openxmlformats.org/officeDocument/2006/relationships/hyperlink" Target="https://risk.edhec.edu/indices-investment-solutions" TargetMode="External"/><Relationship Id="rId22" Type="http://schemas.openxmlformats.org/officeDocument/2006/relationships/hyperlink" Target="https://www.facebook.com/AmundiOfficial/?fref=t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02E9-6EB2-45AE-BF00-649715D1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1730</Words>
  <Characters>10203</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11910</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6</cp:revision>
  <cp:lastPrinted>2018-07-24T10:48:00Z</cp:lastPrinted>
  <dcterms:created xsi:type="dcterms:W3CDTF">2018-09-05T13:55:00Z</dcterms:created>
  <dcterms:modified xsi:type="dcterms:W3CDTF">2018-09-10T09:42:00Z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