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8" w:rsidRPr="00E82113" w:rsidRDefault="00632401">
      <w:pPr>
        <w:spacing w:line="280" w:lineRule="exact"/>
        <w:jc w:val="center"/>
        <w:rPr>
          <w:b/>
          <w:sz w:val="26"/>
        </w:rPr>
      </w:pPr>
      <w:r w:rsidRPr="00E82113">
        <w:rPr>
          <w:noProof/>
          <w:lang w:val="fr-FR"/>
        </w:rPr>
        <w:drawing>
          <wp:anchor distT="0" distB="0" distL="114300" distR="114300" simplePos="0" relativeHeight="251656704" behindDoc="0" locked="0" layoutInCell="1" allowOverlap="1">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rsidR="00C203DD" w:rsidRPr="00E82113" w:rsidRDefault="00C203DD">
      <w:pPr>
        <w:pStyle w:val="Header"/>
        <w:tabs>
          <w:tab w:val="clear" w:pos="4536"/>
          <w:tab w:val="clear" w:pos="9072"/>
        </w:tabs>
        <w:rPr>
          <w:b/>
          <w:sz w:val="32"/>
        </w:rPr>
      </w:pPr>
    </w:p>
    <w:p w:rsidR="0009747F" w:rsidRPr="00E82113" w:rsidRDefault="0009747F">
      <w:pPr>
        <w:pStyle w:val="Header"/>
        <w:tabs>
          <w:tab w:val="clear" w:pos="4536"/>
          <w:tab w:val="clear" w:pos="9072"/>
        </w:tabs>
        <w:rPr>
          <w:b/>
          <w:sz w:val="32"/>
        </w:rPr>
      </w:pPr>
    </w:p>
    <w:p w:rsidR="00AF2BBF" w:rsidRPr="00E82113" w:rsidRDefault="00AF2BBF">
      <w:pPr>
        <w:pStyle w:val="Header"/>
        <w:tabs>
          <w:tab w:val="clear" w:pos="4536"/>
          <w:tab w:val="clear" w:pos="9072"/>
        </w:tabs>
        <w:rPr>
          <w:b/>
          <w:sz w:val="32"/>
        </w:rPr>
      </w:pPr>
    </w:p>
    <w:p w:rsidR="003A22BC" w:rsidRPr="00E82113" w:rsidRDefault="003A22BC" w:rsidP="00F409B2">
      <w:pPr>
        <w:pStyle w:val="Header"/>
        <w:tabs>
          <w:tab w:val="clear" w:pos="4536"/>
          <w:tab w:val="clear" w:pos="9072"/>
          <w:tab w:val="right" w:pos="9000"/>
        </w:tabs>
        <w:rPr>
          <w:b/>
          <w:bCs/>
          <w:sz w:val="24"/>
          <w:szCs w:val="24"/>
        </w:rPr>
      </w:pPr>
    </w:p>
    <w:p w:rsidR="004D0478" w:rsidRPr="00E82113" w:rsidRDefault="004D0478" w:rsidP="00F409B2">
      <w:pPr>
        <w:pStyle w:val="Header"/>
        <w:tabs>
          <w:tab w:val="clear" w:pos="4536"/>
          <w:tab w:val="clear" w:pos="9072"/>
          <w:tab w:val="right" w:pos="9000"/>
        </w:tabs>
        <w:rPr>
          <w:b/>
          <w:snapToGrid w:val="0"/>
          <w:color w:val="000000"/>
          <w:sz w:val="24"/>
        </w:rPr>
      </w:pPr>
      <w:r w:rsidRPr="00E82113">
        <w:rPr>
          <w:b/>
          <w:bCs/>
          <w:sz w:val="24"/>
          <w:szCs w:val="24"/>
        </w:rPr>
        <w:t>Press Release</w:t>
      </w:r>
      <w:r w:rsidR="000F1556" w:rsidRPr="00E82113">
        <w:rPr>
          <w:b/>
          <w:bCs/>
          <w:sz w:val="24"/>
          <w:szCs w:val="24"/>
        </w:rPr>
        <w:tab/>
      </w:r>
      <w:r w:rsidR="004F7E21" w:rsidRPr="00E82113">
        <w:rPr>
          <w:b/>
          <w:bCs/>
          <w:sz w:val="24"/>
          <w:szCs w:val="24"/>
        </w:rPr>
        <w:t xml:space="preserve">London, </w:t>
      </w:r>
      <w:r w:rsidR="003E02F0" w:rsidRPr="00E82113">
        <w:rPr>
          <w:b/>
          <w:snapToGrid w:val="0"/>
          <w:color w:val="000000"/>
          <w:sz w:val="24"/>
        </w:rPr>
        <w:t xml:space="preserve">Nice, </w:t>
      </w:r>
      <w:r w:rsidR="00211CD6" w:rsidRPr="00E82113">
        <w:rPr>
          <w:b/>
          <w:snapToGrid w:val="0"/>
          <w:color w:val="000000"/>
          <w:sz w:val="24"/>
        </w:rPr>
        <w:t xml:space="preserve">Paris, </w:t>
      </w:r>
      <w:r w:rsidR="00524CAC" w:rsidRPr="00E82113">
        <w:rPr>
          <w:b/>
          <w:snapToGrid w:val="0"/>
          <w:color w:val="000000"/>
          <w:sz w:val="24"/>
        </w:rPr>
        <w:t xml:space="preserve">June </w:t>
      </w:r>
      <w:r w:rsidR="00FB3378" w:rsidRPr="00E82113">
        <w:rPr>
          <w:b/>
          <w:snapToGrid w:val="0"/>
          <w:color w:val="000000"/>
          <w:sz w:val="24"/>
        </w:rPr>
        <w:t>8</w:t>
      </w:r>
      <w:r w:rsidR="00D975ED" w:rsidRPr="00E82113">
        <w:rPr>
          <w:b/>
          <w:snapToGrid w:val="0"/>
          <w:color w:val="000000"/>
          <w:sz w:val="24"/>
        </w:rPr>
        <w:t>,</w:t>
      </w:r>
      <w:r w:rsidR="004540A3" w:rsidRPr="00E82113">
        <w:rPr>
          <w:b/>
          <w:snapToGrid w:val="0"/>
          <w:color w:val="000000"/>
          <w:sz w:val="24"/>
        </w:rPr>
        <w:t xml:space="preserve"> 20</w:t>
      </w:r>
      <w:r w:rsidR="00A76864" w:rsidRPr="00E82113">
        <w:rPr>
          <w:b/>
          <w:snapToGrid w:val="0"/>
          <w:color w:val="000000"/>
          <w:sz w:val="24"/>
        </w:rPr>
        <w:t>1</w:t>
      </w:r>
      <w:r w:rsidR="00524CAC" w:rsidRPr="00E82113">
        <w:rPr>
          <w:b/>
          <w:snapToGrid w:val="0"/>
          <w:color w:val="000000"/>
          <w:sz w:val="24"/>
        </w:rPr>
        <w:t>7</w:t>
      </w:r>
    </w:p>
    <w:p w:rsidR="00AE5609" w:rsidRPr="00E82113" w:rsidRDefault="00AE5609" w:rsidP="00AE5609">
      <w:pPr>
        <w:autoSpaceDE w:val="0"/>
        <w:autoSpaceDN w:val="0"/>
        <w:adjustRightInd w:val="0"/>
        <w:spacing w:line="260" w:lineRule="atLeast"/>
        <w:rPr>
          <w:color w:val="000000"/>
          <w:sz w:val="22"/>
          <w:szCs w:val="22"/>
        </w:rPr>
      </w:pPr>
    </w:p>
    <w:p w:rsidR="00F40D60" w:rsidRPr="00E82113" w:rsidRDefault="00F40D60" w:rsidP="00F40D60">
      <w:pPr>
        <w:spacing w:before="240" w:after="240" w:line="380" w:lineRule="exact"/>
        <w:jc w:val="center"/>
        <w:rPr>
          <w:b/>
          <w:sz w:val="36"/>
          <w:szCs w:val="36"/>
        </w:rPr>
      </w:pPr>
      <w:r w:rsidRPr="00E82113">
        <w:rPr>
          <w:b/>
          <w:sz w:val="34"/>
          <w:szCs w:val="34"/>
        </w:rPr>
        <w:t>EDHEC-Risk</w:t>
      </w:r>
      <w:r w:rsidRPr="00E82113">
        <w:rPr>
          <w:b/>
          <w:bCs/>
          <w:color w:val="000000"/>
          <w:sz w:val="34"/>
          <w:szCs w:val="34"/>
        </w:rPr>
        <w:t xml:space="preserve">’s </w:t>
      </w:r>
      <w:r w:rsidR="00FA2DC8" w:rsidRPr="00E82113">
        <w:rPr>
          <w:b/>
          <w:bCs/>
          <w:color w:val="000000"/>
          <w:sz w:val="34"/>
          <w:szCs w:val="34"/>
        </w:rPr>
        <w:t>10</w:t>
      </w:r>
      <w:r w:rsidR="00FA2DC8" w:rsidRPr="00E82113">
        <w:rPr>
          <w:b/>
          <w:bCs/>
          <w:color w:val="000000"/>
          <w:sz w:val="34"/>
          <w:szCs w:val="34"/>
          <w:vertAlign w:val="superscript"/>
        </w:rPr>
        <w:t>th</w:t>
      </w:r>
      <w:r w:rsidR="00FA2DC8" w:rsidRPr="00E82113">
        <w:rPr>
          <w:b/>
          <w:bCs/>
          <w:color w:val="000000"/>
          <w:sz w:val="34"/>
          <w:szCs w:val="34"/>
        </w:rPr>
        <w:t xml:space="preserve"> </w:t>
      </w:r>
      <w:r w:rsidRPr="00E82113">
        <w:rPr>
          <w:b/>
          <w:bCs/>
          <w:color w:val="000000"/>
          <w:sz w:val="34"/>
          <w:szCs w:val="34"/>
        </w:rPr>
        <w:t xml:space="preserve">European ETF </w:t>
      </w:r>
      <w:r w:rsidR="00063123" w:rsidRPr="00E82113">
        <w:rPr>
          <w:b/>
          <w:bCs/>
          <w:color w:val="000000"/>
          <w:sz w:val="34"/>
          <w:szCs w:val="34"/>
        </w:rPr>
        <w:t xml:space="preserve">and Smart Beta </w:t>
      </w:r>
      <w:r w:rsidRPr="00E82113">
        <w:rPr>
          <w:b/>
          <w:bCs/>
          <w:color w:val="000000"/>
          <w:sz w:val="34"/>
          <w:szCs w:val="34"/>
        </w:rPr>
        <w:t xml:space="preserve">Survey </w:t>
      </w:r>
      <w:r w:rsidR="004D0737" w:rsidRPr="00E82113">
        <w:rPr>
          <w:b/>
          <w:sz w:val="36"/>
          <w:szCs w:val="36"/>
        </w:rPr>
        <w:t xml:space="preserve">brings new insights on drivers for product adoption &amp; challenges faced by investors </w:t>
      </w:r>
    </w:p>
    <w:p w:rsidR="00F40D60" w:rsidRPr="00E82113" w:rsidRDefault="00F40D60" w:rsidP="00F40D60">
      <w:pPr>
        <w:spacing w:line="280" w:lineRule="atLeast"/>
        <w:jc w:val="both"/>
        <w:rPr>
          <w:sz w:val="22"/>
          <w:szCs w:val="22"/>
          <w:lang w:eastAsia="de-DE"/>
        </w:rPr>
      </w:pPr>
      <w:r w:rsidRPr="00E82113">
        <w:rPr>
          <w:sz w:val="22"/>
          <w:szCs w:val="22"/>
          <w:lang w:eastAsia="de-DE"/>
        </w:rPr>
        <w:t xml:space="preserve">EDHEC-Risk Institute has announced the results </w:t>
      </w:r>
      <w:r w:rsidR="0071686D" w:rsidRPr="00E82113">
        <w:rPr>
          <w:sz w:val="22"/>
          <w:szCs w:val="22"/>
          <w:lang w:eastAsia="de-DE"/>
        </w:rPr>
        <w:t>of</w:t>
      </w:r>
      <w:r w:rsidRPr="00E82113">
        <w:rPr>
          <w:sz w:val="22"/>
          <w:szCs w:val="22"/>
          <w:lang w:eastAsia="de-DE"/>
        </w:rPr>
        <w:t xml:space="preserve"> </w:t>
      </w:r>
      <w:r w:rsidR="0097121A" w:rsidRPr="00E82113">
        <w:rPr>
          <w:sz w:val="22"/>
          <w:szCs w:val="22"/>
          <w:lang w:eastAsia="de-DE"/>
        </w:rPr>
        <w:t xml:space="preserve">the </w:t>
      </w:r>
      <w:r w:rsidR="00063123" w:rsidRPr="00E82113">
        <w:rPr>
          <w:sz w:val="22"/>
          <w:szCs w:val="22"/>
          <w:lang w:eastAsia="de-DE"/>
        </w:rPr>
        <w:t>10</w:t>
      </w:r>
      <w:r w:rsidR="00063123" w:rsidRPr="00E82113">
        <w:rPr>
          <w:sz w:val="22"/>
          <w:szCs w:val="22"/>
          <w:vertAlign w:val="superscript"/>
          <w:lang w:eastAsia="de-DE"/>
        </w:rPr>
        <w:t>th</w:t>
      </w:r>
      <w:r w:rsidR="00063123" w:rsidRPr="00E82113">
        <w:rPr>
          <w:sz w:val="22"/>
          <w:szCs w:val="22"/>
          <w:lang w:eastAsia="de-DE"/>
        </w:rPr>
        <w:t xml:space="preserve"> </w:t>
      </w:r>
      <w:r w:rsidRPr="00E82113">
        <w:rPr>
          <w:sz w:val="22"/>
          <w:szCs w:val="22"/>
          <w:lang w:eastAsia="de-DE"/>
        </w:rPr>
        <w:t xml:space="preserve">EDHEC European ETF </w:t>
      </w:r>
      <w:r w:rsidR="00063123" w:rsidRPr="00E82113">
        <w:rPr>
          <w:sz w:val="22"/>
          <w:szCs w:val="22"/>
          <w:lang w:eastAsia="de-DE"/>
        </w:rPr>
        <w:t xml:space="preserve">and Smart Beta </w:t>
      </w:r>
      <w:r w:rsidRPr="00E82113">
        <w:rPr>
          <w:sz w:val="22"/>
          <w:szCs w:val="22"/>
          <w:lang w:eastAsia="de-DE"/>
        </w:rPr>
        <w:t xml:space="preserve">Survey, a comprehensive survey of </w:t>
      </w:r>
      <w:r w:rsidR="004D0737" w:rsidRPr="00E82113">
        <w:rPr>
          <w:sz w:val="22"/>
          <w:szCs w:val="22"/>
          <w:lang w:eastAsia="de-DE"/>
        </w:rPr>
        <w:t>211</w:t>
      </w:r>
      <w:r w:rsidRPr="00E82113">
        <w:rPr>
          <w:sz w:val="22"/>
          <w:szCs w:val="22"/>
          <w:lang w:eastAsia="de-DE"/>
        </w:rPr>
        <w:t xml:space="preserve"> European ETF </w:t>
      </w:r>
      <w:r w:rsidR="00B91805">
        <w:rPr>
          <w:sz w:val="22"/>
          <w:szCs w:val="22"/>
          <w:lang w:eastAsia="de-DE"/>
        </w:rPr>
        <w:t xml:space="preserve">and smart beta </w:t>
      </w:r>
      <w:r w:rsidRPr="00E82113">
        <w:rPr>
          <w:sz w:val="22"/>
          <w:szCs w:val="22"/>
          <w:lang w:eastAsia="de-DE"/>
        </w:rPr>
        <w:t>investors</w:t>
      </w:r>
      <w:r w:rsidR="00E97CC9" w:rsidRPr="00E82113">
        <w:rPr>
          <w:sz w:val="22"/>
          <w:szCs w:val="22"/>
          <w:lang w:eastAsia="de-DE"/>
        </w:rPr>
        <w:t>,</w:t>
      </w:r>
      <w:r w:rsidRPr="00E82113">
        <w:rPr>
          <w:sz w:val="22"/>
          <w:szCs w:val="22"/>
          <w:lang w:eastAsia="de-DE"/>
        </w:rPr>
        <w:t xml:space="preserve"> conducted as part of the Amundi research chair at EDHEC-Risk Institute on “</w:t>
      </w:r>
      <w:r w:rsidR="004D0737" w:rsidRPr="00E82113">
        <w:rPr>
          <w:sz w:val="22"/>
          <w:szCs w:val="22"/>
          <w:lang w:eastAsia="de-DE"/>
        </w:rPr>
        <w:t>ETF, Indexing and Smart Beta Investment Strategies</w:t>
      </w:r>
      <w:r w:rsidRPr="00E82113">
        <w:rPr>
          <w:sz w:val="22"/>
          <w:szCs w:val="22"/>
          <w:lang w:eastAsia="de-DE"/>
        </w:rPr>
        <w:t>”</w:t>
      </w:r>
      <w:r w:rsidR="00E97CC9" w:rsidRPr="00E82113">
        <w:rPr>
          <w:sz w:val="22"/>
          <w:szCs w:val="22"/>
          <w:lang w:eastAsia="de-DE"/>
        </w:rPr>
        <w:t xml:space="preserve">. EDHEC-Risk Institute </w:t>
      </w:r>
      <w:r w:rsidR="00F13F7F" w:rsidRPr="00E82113">
        <w:rPr>
          <w:sz w:val="22"/>
          <w:szCs w:val="22"/>
          <w:lang w:eastAsia="de-DE"/>
        </w:rPr>
        <w:t>has</w:t>
      </w:r>
      <w:r w:rsidR="0097121A" w:rsidRPr="00E82113">
        <w:rPr>
          <w:sz w:val="22"/>
          <w:szCs w:val="22"/>
          <w:lang w:eastAsia="de-DE"/>
        </w:rPr>
        <w:t xml:space="preserve"> </w:t>
      </w:r>
      <w:r w:rsidR="00E97CC9" w:rsidRPr="00E82113">
        <w:rPr>
          <w:sz w:val="22"/>
          <w:szCs w:val="22"/>
          <w:lang w:eastAsia="de-DE"/>
        </w:rPr>
        <w:t>conduct</w:t>
      </w:r>
      <w:r w:rsidR="0097121A" w:rsidRPr="00E82113">
        <w:rPr>
          <w:sz w:val="22"/>
          <w:szCs w:val="22"/>
          <w:lang w:eastAsia="de-DE"/>
        </w:rPr>
        <w:t>ed</w:t>
      </w:r>
      <w:r w:rsidR="00E97CC9" w:rsidRPr="00E82113">
        <w:rPr>
          <w:sz w:val="22"/>
          <w:szCs w:val="22"/>
          <w:lang w:eastAsia="de-DE"/>
        </w:rPr>
        <w:t xml:space="preserve"> a regular ETF survey since 2006</w:t>
      </w:r>
      <w:r w:rsidR="0097121A" w:rsidRPr="00E82113">
        <w:rPr>
          <w:sz w:val="22"/>
          <w:szCs w:val="22"/>
          <w:lang w:eastAsia="de-DE"/>
        </w:rPr>
        <w:t>,</w:t>
      </w:r>
      <w:r w:rsidR="00E97CC9" w:rsidRPr="00E82113">
        <w:rPr>
          <w:sz w:val="22"/>
          <w:szCs w:val="22"/>
          <w:lang w:eastAsia="de-DE"/>
        </w:rPr>
        <w:t xml:space="preserve"> providing </w:t>
      </w:r>
      <w:r w:rsidR="0071686D" w:rsidRPr="00E82113">
        <w:rPr>
          <w:sz w:val="22"/>
          <w:szCs w:val="22"/>
          <w:lang w:eastAsia="de-DE"/>
        </w:rPr>
        <w:t xml:space="preserve">a detailed account of </w:t>
      </w:r>
      <w:r w:rsidR="00E82113">
        <w:rPr>
          <w:sz w:val="22"/>
          <w:szCs w:val="22"/>
          <w:lang w:eastAsia="de-DE"/>
        </w:rPr>
        <w:t xml:space="preserve">European investor </w:t>
      </w:r>
      <w:r w:rsidR="0071686D" w:rsidRPr="00E82113">
        <w:rPr>
          <w:sz w:val="22"/>
          <w:szCs w:val="22"/>
          <w:lang w:eastAsia="de-DE"/>
        </w:rPr>
        <w:t xml:space="preserve">perceptions and practices </w:t>
      </w:r>
      <w:r w:rsidR="00E82113">
        <w:rPr>
          <w:sz w:val="22"/>
          <w:szCs w:val="22"/>
          <w:lang w:eastAsia="de-DE"/>
        </w:rPr>
        <w:t xml:space="preserve">in the domain of </w:t>
      </w:r>
      <w:r w:rsidR="00D87D56" w:rsidRPr="00E82113">
        <w:rPr>
          <w:sz w:val="22"/>
          <w:szCs w:val="22"/>
          <w:lang w:eastAsia="de-DE"/>
        </w:rPr>
        <w:t xml:space="preserve">ETFs and smart beta strategies </w:t>
      </w:r>
      <w:r w:rsidR="00E97CC9" w:rsidRPr="00E82113">
        <w:rPr>
          <w:sz w:val="22"/>
          <w:szCs w:val="22"/>
          <w:lang w:eastAsia="de-DE"/>
        </w:rPr>
        <w:t>over the past decade</w:t>
      </w:r>
      <w:r w:rsidR="0071686D" w:rsidRPr="00E82113">
        <w:rPr>
          <w:sz w:val="22"/>
          <w:szCs w:val="22"/>
          <w:lang w:eastAsia="de-DE"/>
        </w:rPr>
        <w:t>.</w:t>
      </w:r>
    </w:p>
    <w:p w:rsidR="00F40D60" w:rsidRPr="00E82113" w:rsidRDefault="00F40D60" w:rsidP="00F40D60">
      <w:pPr>
        <w:spacing w:line="240" w:lineRule="atLeast"/>
        <w:jc w:val="both"/>
        <w:rPr>
          <w:snapToGrid w:val="0"/>
          <w:sz w:val="22"/>
          <w:szCs w:val="22"/>
        </w:rPr>
      </w:pPr>
    </w:p>
    <w:p w:rsidR="00F40D60" w:rsidRPr="00E82113" w:rsidRDefault="0097121A" w:rsidP="00F40D60">
      <w:pPr>
        <w:spacing w:line="280" w:lineRule="atLeast"/>
        <w:jc w:val="both"/>
        <w:rPr>
          <w:snapToGrid w:val="0"/>
          <w:sz w:val="22"/>
          <w:szCs w:val="22"/>
        </w:rPr>
      </w:pPr>
      <w:r w:rsidRPr="00E82113">
        <w:rPr>
          <w:snapToGrid w:val="0"/>
          <w:sz w:val="22"/>
          <w:szCs w:val="22"/>
        </w:rPr>
        <w:t>K</w:t>
      </w:r>
      <w:r w:rsidR="00F40D60" w:rsidRPr="00E82113">
        <w:rPr>
          <w:snapToGrid w:val="0"/>
          <w:sz w:val="22"/>
          <w:szCs w:val="22"/>
        </w:rPr>
        <w:t xml:space="preserve">ey findings of the </w:t>
      </w:r>
      <w:r w:rsidR="00614EBF" w:rsidRPr="00E82113">
        <w:rPr>
          <w:snapToGrid w:val="0"/>
          <w:sz w:val="22"/>
          <w:szCs w:val="22"/>
        </w:rPr>
        <w:t xml:space="preserve">latest </w:t>
      </w:r>
      <w:r w:rsidR="00F40D60" w:rsidRPr="00E82113">
        <w:rPr>
          <w:snapToGrid w:val="0"/>
          <w:sz w:val="22"/>
          <w:szCs w:val="22"/>
        </w:rPr>
        <w:t>survey</w:t>
      </w:r>
      <w:r w:rsidRPr="00E82113">
        <w:rPr>
          <w:snapToGrid w:val="0"/>
          <w:sz w:val="22"/>
          <w:szCs w:val="22"/>
        </w:rPr>
        <w:t xml:space="preserve"> included the following</w:t>
      </w:r>
      <w:r w:rsidR="00F40D60" w:rsidRPr="00E82113">
        <w:rPr>
          <w:snapToGrid w:val="0"/>
          <w:sz w:val="22"/>
          <w:szCs w:val="22"/>
        </w:rPr>
        <w:t>:</w:t>
      </w:r>
    </w:p>
    <w:p w:rsidR="00E123AC" w:rsidRPr="00E82113" w:rsidRDefault="00E123AC" w:rsidP="00F40D60">
      <w:pPr>
        <w:spacing w:line="280" w:lineRule="atLeast"/>
        <w:jc w:val="both"/>
        <w:rPr>
          <w:snapToGrid w:val="0"/>
          <w:sz w:val="22"/>
          <w:szCs w:val="22"/>
        </w:rPr>
      </w:pPr>
    </w:p>
    <w:p w:rsidR="00DE2760" w:rsidRPr="00E82113" w:rsidRDefault="00D87D56" w:rsidP="00F40D60">
      <w:pPr>
        <w:spacing w:line="280" w:lineRule="atLeast"/>
        <w:jc w:val="both"/>
        <w:rPr>
          <w:i/>
          <w:snapToGrid w:val="0"/>
          <w:sz w:val="22"/>
          <w:szCs w:val="22"/>
        </w:rPr>
      </w:pPr>
      <w:r w:rsidRPr="00E82113">
        <w:rPr>
          <w:i/>
          <w:snapToGrid w:val="0"/>
          <w:sz w:val="22"/>
          <w:szCs w:val="22"/>
        </w:rPr>
        <w:t>HOW DO INVESTORS SELECT AND USE ETFS?</w:t>
      </w:r>
    </w:p>
    <w:p w:rsidR="00DE2760" w:rsidRPr="00E82113" w:rsidRDefault="00DE2760" w:rsidP="00F40D60">
      <w:pPr>
        <w:spacing w:line="280" w:lineRule="atLeast"/>
        <w:jc w:val="both"/>
        <w:rPr>
          <w:snapToGrid w:val="0"/>
          <w:sz w:val="22"/>
          <w:szCs w:val="22"/>
        </w:rPr>
      </w:pPr>
    </w:p>
    <w:p w:rsidR="00015EC6" w:rsidRPr="00E82113" w:rsidRDefault="00015EC6" w:rsidP="00015EC6">
      <w:pPr>
        <w:pStyle w:val="ListParagraph"/>
        <w:numPr>
          <w:ilvl w:val="0"/>
          <w:numId w:val="21"/>
        </w:numPr>
        <w:spacing w:after="200" w:line="276" w:lineRule="auto"/>
        <w:rPr>
          <w:rFonts w:ascii="Times New Roman" w:eastAsia="Times New Roman" w:hAnsi="Times New Roman" w:cs="Times New Roman"/>
          <w:lang w:eastAsia="de-DE"/>
        </w:rPr>
      </w:pPr>
      <w:r w:rsidRPr="00E82113">
        <w:rPr>
          <w:rFonts w:ascii="Times New Roman" w:eastAsia="Times New Roman" w:hAnsi="Times New Roman" w:cs="Times New Roman"/>
          <w:b/>
          <w:lang w:eastAsia="de-DE"/>
        </w:rPr>
        <w:t>Since 2006, the increase of the percentage of respondents using ETFs in traditional asset classes has been spectacular</w:t>
      </w:r>
      <w:r w:rsidRPr="00E82113">
        <w:rPr>
          <w:rFonts w:ascii="Times New Roman" w:eastAsia="Times New Roman" w:hAnsi="Times New Roman" w:cs="Times New Roman"/>
          <w:lang w:eastAsia="de-DE"/>
        </w:rPr>
        <w:t>: in 2006, 45% of respondents used ETFs to invest in equities</w:t>
      </w:r>
      <w:r w:rsidR="00421993" w:rsidRPr="00E82113">
        <w:rPr>
          <w:rFonts w:ascii="Times New Roman" w:eastAsia="Times New Roman" w:hAnsi="Times New Roman" w:cs="Times New Roman"/>
          <w:lang w:eastAsia="de-DE"/>
        </w:rPr>
        <w:t xml:space="preserve"> and 10% to invest in fixed income</w:t>
      </w:r>
      <w:r w:rsidRPr="00E82113">
        <w:rPr>
          <w:rFonts w:ascii="Times New Roman" w:eastAsia="Times New Roman" w:hAnsi="Times New Roman" w:cs="Times New Roman"/>
          <w:lang w:eastAsia="de-DE"/>
        </w:rPr>
        <w:t>, compared with 91%</w:t>
      </w:r>
      <w:r w:rsidR="00421993" w:rsidRPr="00E82113">
        <w:rPr>
          <w:rFonts w:ascii="Times New Roman" w:eastAsia="Times New Roman" w:hAnsi="Times New Roman" w:cs="Times New Roman"/>
          <w:lang w:eastAsia="de-DE"/>
        </w:rPr>
        <w:t xml:space="preserve"> and 65%</w:t>
      </w:r>
      <w:r w:rsidRPr="00E82113">
        <w:rPr>
          <w:rFonts w:ascii="Times New Roman" w:eastAsia="Times New Roman" w:hAnsi="Times New Roman" w:cs="Times New Roman"/>
          <w:lang w:eastAsia="de-DE"/>
        </w:rPr>
        <w:t xml:space="preserve"> </w:t>
      </w:r>
      <w:r w:rsidR="00421993" w:rsidRPr="00E82113">
        <w:rPr>
          <w:rFonts w:ascii="Times New Roman" w:eastAsia="Times New Roman" w:hAnsi="Times New Roman" w:cs="Times New Roman"/>
          <w:lang w:eastAsia="de-DE"/>
        </w:rPr>
        <w:t xml:space="preserve">respectively </w:t>
      </w:r>
      <w:r w:rsidRPr="00E82113">
        <w:rPr>
          <w:rFonts w:ascii="Times New Roman" w:eastAsia="Times New Roman" w:hAnsi="Times New Roman" w:cs="Times New Roman"/>
          <w:lang w:eastAsia="de-DE"/>
        </w:rPr>
        <w:t>in 2016</w:t>
      </w:r>
      <w:r w:rsidR="00D4037B" w:rsidRPr="00E82113">
        <w:rPr>
          <w:rFonts w:ascii="Times New Roman" w:eastAsia="Times New Roman" w:hAnsi="Times New Roman" w:cs="Times New Roman"/>
          <w:lang w:eastAsia="de-DE"/>
        </w:rPr>
        <w:t>.</w:t>
      </w:r>
    </w:p>
    <w:p w:rsidR="002663EB" w:rsidRPr="00E82113" w:rsidRDefault="002663EB" w:rsidP="00015EC6">
      <w:pPr>
        <w:pStyle w:val="ListParagraph"/>
        <w:numPr>
          <w:ilvl w:val="0"/>
          <w:numId w:val="21"/>
        </w:numPr>
        <w:spacing w:after="200" w:line="276" w:lineRule="auto"/>
        <w:rPr>
          <w:rFonts w:ascii="Times New Roman" w:eastAsia="Times New Roman" w:hAnsi="Times New Roman" w:cs="Times New Roman"/>
          <w:lang w:eastAsia="de-DE"/>
        </w:rPr>
      </w:pPr>
      <w:r w:rsidRPr="00E82113">
        <w:rPr>
          <w:rFonts w:ascii="Times New Roman" w:eastAsia="Times New Roman" w:hAnsi="Times New Roman" w:cs="Times New Roman"/>
          <w:b/>
          <w:lang w:eastAsia="de-DE"/>
        </w:rPr>
        <w:t xml:space="preserve">Gaining broad market exposure remains the main focus of ETF users for 71% of respondents </w:t>
      </w:r>
      <w:r w:rsidRPr="00E82113">
        <w:rPr>
          <w:rFonts w:ascii="Times New Roman" w:eastAsia="Times New Roman" w:hAnsi="Times New Roman" w:cs="Times New Roman"/>
          <w:lang w:eastAsia="de-DE"/>
        </w:rPr>
        <w:t>(</w:t>
      </w:r>
      <w:r w:rsidR="0066768F" w:rsidRPr="00E82113">
        <w:rPr>
          <w:rFonts w:ascii="Times New Roman" w:eastAsia="Times New Roman" w:hAnsi="Times New Roman" w:cs="Times New Roman"/>
          <w:lang w:eastAsia="de-DE"/>
        </w:rPr>
        <w:t>despite variations,</w:t>
      </w:r>
      <w:r w:rsidR="004F5266" w:rsidRPr="00E82113">
        <w:rPr>
          <w:rFonts w:ascii="Times New Roman" w:eastAsia="Times New Roman" w:hAnsi="Times New Roman" w:cs="Times New Roman"/>
          <w:lang w:eastAsia="de-DE"/>
        </w:rPr>
        <w:t xml:space="preserve"> </w:t>
      </w:r>
      <w:r w:rsidRPr="00E82113">
        <w:rPr>
          <w:rFonts w:ascii="Times New Roman" w:eastAsia="Times New Roman" w:hAnsi="Times New Roman" w:cs="Times New Roman"/>
          <w:lang w:eastAsia="de-DE"/>
        </w:rPr>
        <w:t>values obtained in 2016 are equal to the long-term mean</w:t>
      </w:r>
      <w:r w:rsidR="0066768F" w:rsidRPr="00E82113">
        <w:rPr>
          <w:rFonts w:ascii="Times New Roman" w:eastAsia="Times New Roman" w:hAnsi="Times New Roman" w:cs="Times New Roman"/>
          <w:lang w:eastAsia="de-DE"/>
        </w:rPr>
        <w:t>, from 2009 to 2016</w:t>
      </w:r>
      <w:r w:rsidRPr="00E82113">
        <w:rPr>
          <w:rFonts w:ascii="Times New Roman" w:eastAsia="Times New Roman" w:hAnsi="Times New Roman" w:cs="Times New Roman"/>
          <w:lang w:eastAsia="de-DE"/>
        </w:rPr>
        <w:t>)</w:t>
      </w:r>
      <w:r w:rsidR="00421993" w:rsidRPr="00E82113">
        <w:rPr>
          <w:rFonts w:ascii="Times New Roman" w:eastAsia="Times New Roman" w:hAnsi="Times New Roman" w:cs="Times New Roman"/>
          <w:lang w:eastAsia="de-DE"/>
        </w:rPr>
        <w:t>.</w:t>
      </w:r>
    </w:p>
    <w:p w:rsidR="00B2369C" w:rsidRPr="00E82113" w:rsidRDefault="00B2369C" w:rsidP="005B1F8D">
      <w:pPr>
        <w:pStyle w:val="ListParagraph"/>
        <w:numPr>
          <w:ilvl w:val="0"/>
          <w:numId w:val="26"/>
        </w:numPr>
        <w:rPr>
          <w:rFonts w:ascii="Times New Roman" w:eastAsia="Times New Roman" w:hAnsi="Times New Roman" w:cs="Times New Roman"/>
          <w:lang w:eastAsia="de-DE"/>
        </w:rPr>
      </w:pPr>
      <w:r w:rsidRPr="00E82113">
        <w:rPr>
          <w:rFonts w:ascii="Times New Roman" w:eastAsia="Times New Roman" w:hAnsi="Times New Roman" w:cs="Times New Roman"/>
          <w:b/>
          <w:lang w:eastAsia="de-DE"/>
        </w:rPr>
        <w:t>Costs and quality of replication are the two criteria domina</w:t>
      </w:r>
      <w:r w:rsidR="00071E7E">
        <w:rPr>
          <w:rFonts w:ascii="Times New Roman" w:eastAsia="Times New Roman" w:hAnsi="Times New Roman" w:cs="Times New Roman"/>
          <w:b/>
          <w:lang w:eastAsia="de-DE"/>
        </w:rPr>
        <w:t>t</w:t>
      </w:r>
      <w:r w:rsidR="00E82113">
        <w:rPr>
          <w:rFonts w:ascii="Times New Roman" w:eastAsia="Times New Roman" w:hAnsi="Times New Roman" w:cs="Times New Roman"/>
          <w:b/>
          <w:lang w:eastAsia="de-DE"/>
        </w:rPr>
        <w:t>ing</w:t>
      </w:r>
      <w:r w:rsidRPr="00E82113">
        <w:rPr>
          <w:rFonts w:ascii="Times New Roman" w:eastAsia="Times New Roman" w:hAnsi="Times New Roman" w:cs="Times New Roman"/>
          <w:b/>
          <w:lang w:eastAsia="de-DE"/>
        </w:rPr>
        <w:t xml:space="preserve"> investor </w:t>
      </w:r>
      <w:r w:rsidR="00CA301B" w:rsidRPr="00E82113">
        <w:rPr>
          <w:rFonts w:ascii="Times New Roman" w:eastAsia="Times New Roman" w:hAnsi="Times New Roman" w:cs="Times New Roman"/>
          <w:b/>
          <w:lang w:eastAsia="de-DE"/>
        </w:rPr>
        <w:t>preoccupations</w:t>
      </w:r>
      <w:r w:rsidR="00CA301B" w:rsidRPr="00E82113">
        <w:rPr>
          <w:rFonts w:ascii="Times New Roman" w:eastAsia="Times New Roman" w:hAnsi="Times New Roman" w:cs="Times New Roman"/>
          <w:lang w:eastAsia="de-DE"/>
        </w:rPr>
        <w:t>, related to the main motivations for using ETFs: reducing the investment costs, while tracking the performance of the index</w:t>
      </w:r>
      <w:r w:rsidR="005B1F8D" w:rsidRPr="00E82113">
        <w:rPr>
          <w:rFonts w:ascii="Times New Roman" w:eastAsia="Times New Roman" w:hAnsi="Times New Roman" w:cs="Times New Roman"/>
          <w:lang w:eastAsia="de-DE"/>
        </w:rPr>
        <w:t xml:space="preserve">. Qualitative criteria considered by investors are </w:t>
      </w:r>
      <w:r w:rsidR="00071E7E">
        <w:rPr>
          <w:rFonts w:ascii="Times New Roman" w:eastAsia="Times New Roman" w:hAnsi="Times New Roman" w:cs="Times New Roman"/>
          <w:lang w:eastAsia="de-DE"/>
        </w:rPr>
        <w:t xml:space="preserve">the </w:t>
      </w:r>
      <w:r w:rsidR="005B1F8D" w:rsidRPr="00E82113">
        <w:rPr>
          <w:rFonts w:ascii="Times New Roman" w:eastAsia="Times New Roman" w:hAnsi="Times New Roman" w:cs="Times New Roman"/>
          <w:b/>
          <w:lang w:eastAsia="de-DE"/>
        </w:rPr>
        <w:t>long-term commitment of the provider</w:t>
      </w:r>
      <w:r w:rsidR="005B1F8D" w:rsidRPr="00E82113">
        <w:rPr>
          <w:rFonts w:ascii="Times New Roman" w:eastAsia="Times New Roman" w:hAnsi="Times New Roman" w:cs="Times New Roman"/>
          <w:lang w:eastAsia="de-DE"/>
        </w:rPr>
        <w:t xml:space="preserve"> and broadness of the range (38% of respondents for both criteria).</w:t>
      </w:r>
    </w:p>
    <w:p w:rsidR="00946F96" w:rsidRPr="00E82113" w:rsidDel="005B1F8D" w:rsidRDefault="00BD5A22" w:rsidP="00BD5A22">
      <w:pPr>
        <w:pStyle w:val="ListParagraph"/>
        <w:numPr>
          <w:ilvl w:val="0"/>
          <w:numId w:val="21"/>
        </w:numPr>
        <w:spacing w:line="280" w:lineRule="atLeast"/>
        <w:rPr>
          <w:rFonts w:ascii="Times New Roman" w:eastAsia="Times New Roman" w:hAnsi="Times New Roman" w:cs="Times New Roman"/>
          <w:lang w:eastAsia="de-DE"/>
        </w:rPr>
      </w:pPr>
      <w:r w:rsidRPr="00E82113" w:rsidDel="005B1F8D">
        <w:rPr>
          <w:rFonts w:ascii="Times New Roman" w:eastAsia="Times New Roman" w:hAnsi="Times New Roman" w:cs="Times New Roman"/>
          <w:b/>
          <w:lang w:eastAsia="de-DE"/>
        </w:rPr>
        <w:t>About two-third</w:t>
      </w:r>
      <w:r w:rsidR="00071E7E">
        <w:rPr>
          <w:rFonts w:ascii="Times New Roman" w:eastAsia="Times New Roman" w:hAnsi="Times New Roman" w:cs="Times New Roman"/>
          <w:b/>
          <w:lang w:eastAsia="de-DE"/>
        </w:rPr>
        <w:t>s</w:t>
      </w:r>
      <w:r w:rsidRPr="00E82113" w:rsidDel="005B1F8D">
        <w:rPr>
          <w:rFonts w:ascii="Times New Roman" w:eastAsia="Times New Roman" w:hAnsi="Times New Roman" w:cs="Times New Roman"/>
          <w:b/>
          <w:lang w:eastAsia="de-DE"/>
        </w:rPr>
        <w:t xml:space="preserve"> of respondents (67%) use</w:t>
      </w:r>
      <w:r w:rsidR="00071E7E">
        <w:rPr>
          <w:rFonts w:ascii="Times New Roman" w:eastAsia="Times New Roman" w:hAnsi="Times New Roman" w:cs="Times New Roman"/>
          <w:b/>
          <w:lang w:eastAsia="de-DE"/>
        </w:rPr>
        <w:t>d</w:t>
      </w:r>
      <w:r w:rsidRPr="00E82113" w:rsidDel="005B1F8D">
        <w:rPr>
          <w:rFonts w:ascii="Times New Roman" w:eastAsia="Times New Roman" w:hAnsi="Times New Roman" w:cs="Times New Roman"/>
          <w:b/>
          <w:lang w:eastAsia="de-DE"/>
        </w:rPr>
        <w:t xml:space="preserve"> ETFs to invest in smart beta in 2016</w:t>
      </w:r>
      <w:r w:rsidRPr="00E82113" w:rsidDel="005B1F8D">
        <w:rPr>
          <w:rFonts w:ascii="Times New Roman" w:eastAsia="Times New Roman" w:hAnsi="Times New Roman" w:cs="Times New Roman"/>
          <w:lang w:eastAsia="de-DE"/>
        </w:rPr>
        <w:t>, a considerable increase compared to 49% in 2014</w:t>
      </w:r>
      <w:r w:rsidR="00421993" w:rsidRPr="00E82113">
        <w:rPr>
          <w:rFonts w:ascii="Times New Roman" w:eastAsia="Times New Roman" w:hAnsi="Times New Roman" w:cs="Times New Roman"/>
          <w:lang w:eastAsia="de-DE"/>
        </w:rPr>
        <w:t>.</w:t>
      </w:r>
    </w:p>
    <w:p w:rsidR="00BD5A22" w:rsidRPr="00E82113" w:rsidRDefault="00BD5A22" w:rsidP="00BC6E06">
      <w:pPr>
        <w:spacing w:line="280" w:lineRule="atLeast"/>
        <w:jc w:val="both"/>
        <w:rPr>
          <w:i/>
          <w:snapToGrid w:val="0"/>
          <w:sz w:val="22"/>
          <w:szCs w:val="22"/>
        </w:rPr>
      </w:pPr>
    </w:p>
    <w:p w:rsidR="00BC6E06" w:rsidRPr="00E82113" w:rsidRDefault="00D87D56" w:rsidP="00BC6E06">
      <w:pPr>
        <w:spacing w:line="280" w:lineRule="atLeast"/>
        <w:jc w:val="both"/>
        <w:rPr>
          <w:i/>
          <w:snapToGrid w:val="0"/>
          <w:sz w:val="22"/>
          <w:szCs w:val="22"/>
        </w:rPr>
      </w:pPr>
      <w:r w:rsidRPr="00E82113">
        <w:rPr>
          <w:i/>
          <w:snapToGrid w:val="0"/>
          <w:sz w:val="22"/>
          <w:szCs w:val="22"/>
        </w:rPr>
        <w:t>KEY OBJECTIVES DRIVING THE USE OF SMART BETA STRATEGIES</w:t>
      </w:r>
    </w:p>
    <w:p w:rsidR="00DE2760" w:rsidRPr="00E82113" w:rsidRDefault="00DE2760" w:rsidP="00BC6E06">
      <w:pPr>
        <w:spacing w:line="280" w:lineRule="atLeast"/>
        <w:jc w:val="both"/>
        <w:rPr>
          <w:snapToGrid w:val="0"/>
          <w:sz w:val="22"/>
          <w:szCs w:val="22"/>
        </w:rPr>
      </w:pPr>
    </w:p>
    <w:p w:rsidR="00CA301B" w:rsidRPr="00E82113" w:rsidRDefault="00CA301B" w:rsidP="00783F5D">
      <w:pPr>
        <w:pStyle w:val="ListParagraph"/>
        <w:numPr>
          <w:ilvl w:val="0"/>
          <w:numId w:val="21"/>
        </w:numPr>
        <w:tabs>
          <w:tab w:val="clear" w:pos="709"/>
        </w:tabs>
        <w:spacing w:after="0" w:line="280" w:lineRule="atLeast"/>
        <w:rPr>
          <w:rFonts w:ascii="Times New Roman" w:eastAsia="Times New Roman" w:hAnsi="Times New Roman" w:cs="Times New Roman"/>
          <w:b/>
          <w:snapToGrid w:val="0"/>
          <w:lang w:eastAsia="de-DE"/>
        </w:rPr>
      </w:pPr>
      <w:r w:rsidRPr="00E82113">
        <w:rPr>
          <w:rFonts w:ascii="Times New Roman" w:eastAsia="Times New Roman" w:hAnsi="Times New Roman" w:cs="Times New Roman"/>
          <w:b/>
          <w:lang w:eastAsia="de-DE"/>
        </w:rPr>
        <w:t xml:space="preserve">The </w:t>
      </w:r>
      <w:r w:rsidR="00C241E0" w:rsidRPr="00E82113">
        <w:rPr>
          <w:rFonts w:ascii="Times New Roman" w:eastAsia="Times New Roman" w:hAnsi="Times New Roman" w:cs="Times New Roman"/>
          <w:b/>
          <w:lang w:eastAsia="de-DE"/>
        </w:rPr>
        <w:t xml:space="preserve">most important motivation for adopting smart beta strategies </w:t>
      </w:r>
      <w:r w:rsidR="00421993" w:rsidRPr="00E82113">
        <w:rPr>
          <w:rFonts w:ascii="Times New Roman" w:eastAsia="Times New Roman" w:hAnsi="Times New Roman" w:cs="Times New Roman"/>
          <w:b/>
          <w:lang w:eastAsia="de-DE"/>
        </w:rPr>
        <w:t xml:space="preserve">is </w:t>
      </w:r>
      <w:r w:rsidR="00C241E0" w:rsidRPr="00E82113">
        <w:rPr>
          <w:rFonts w:ascii="Times New Roman" w:eastAsia="Times New Roman" w:hAnsi="Times New Roman" w:cs="Times New Roman"/>
          <w:b/>
          <w:lang w:eastAsia="de-DE"/>
        </w:rPr>
        <w:t xml:space="preserve">to improve performance </w:t>
      </w:r>
      <w:r w:rsidRPr="00E82113">
        <w:rPr>
          <w:rFonts w:ascii="Times New Roman" w:eastAsia="Times New Roman" w:hAnsi="Times New Roman" w:cs="Times New Roman"/>
          <w:b/>
          <w:lang w:eastAsia="de-DE"/>
        </w:rPr>
        <w:t>and manage risk</w:t>
      </w:r>
      <w:r w:rsidR="00421993" w:rsidRPr="00E82113">
        <w:rPr>
          <w:rFonts w:ascii="Times New Roman" w:eastAsia="Times New Roman" w:hAnsi="Times New Roman" w:cs="Times New Roman"/>
          <w:b/>
          <w:lang w:eastAsia="de-DE"/>
        </w:rPr>
        <w:t>.</w:t>
      </w:r>
      <w:r w:rsidRPr="00E82113">
        <w:rPr>
          <w:rFonts w:ascii="Times New Roman" w:eastAsia="Times New Roman" w:hAnsi="Times New Roman" w:cs="Times New Roman"/>
          <w:b/>
          <w:lang w:eastAsia="de-DE"/>
        </w:rPr>
        <w:t xml:space="preserve"> </w:t>
      </w:r>
    </w:p>
    <w:p w:rsidR="005B1F8D" w:rsidRPr="00E82113" w:rsidRDefault="005B1F8D" w:rsidP="005B1F8D">
      <w:pPr>
        <w:pStyle w:val="ListParagraph"/>
        <w:numPr>
          <w:ilvl w:val="0"/>
          <w:numId w:val="21"/>
        </w:numPr>
        <w:tabs>
          <w:tab w:val="clear" w:pos="709"/>
        </w:tabs>
        <w:spacing w:after="0" w:line="280" w:lineRule="atLeast"/>
        <w:rPr>
          <w:rFonts w:ascii="Times New Roman" w:eastAsia="Times New Roman" w:hAnsi="Times New Roman" w:cs="Times New Roman"/>
          <w:lang w:eastAsia="de-DE"/>
        </w:rPr>
      </w:pPr>
      <w:r w:rsidRPr="00E82113">
        <w:rPr>
          <w:rFonts w:ascii="Times New Roman" w:eastAsia="Times New Roman" w:hAnsi="Times New Roman" w:cs="Times New Roman"/>
          <w:lang w:eastAsia="de-DE"/>
        </w:rPr>
        <w:t xml:space="preserve">In terms of the actual product wrapper, </w:t>
      </w:r>
      <w:r w:rsidRPr="00E82113">
        <w:rPr>
          <w:rFonts w:ascii="Times New Roman" w:eastAsia="Times New Roman" w:hAnsi="Times New Roman" w:cs="Times New Roman"/>
          <w:b/>
          <w:lang w:eastAsia="de-DE"/>
        </w:rPr>
        <w:t>respondents favour passive funds replicating smart beta indices (64%) but also use active solutions</w:t>
      </w:r>
      <w:r w:rsidRPr="00E82113">
        <w:rPr>
          <w:rFonts w:ascii="Times New Roman" w:eastAsia="Times New Roman" w:hAnsi="Times New Roman" w:cs="Times New Roman"/>
          <w:lang w:eastAsia="de-DE"/>
        </w:rPr>
        <w:t xml:space="preserve">, albeit to a lesser extent (44%). </w:t>
      </w:r>
    </w:p>
    <w:p w:rsidR="004F5266" w:rsidRPr="00E82113" w:rsidRDefault="004F5266" w:rsidP="004F5266">
      <w:pPr>
        <w:pStyle w:val="ListParagraph"/>
        <w:numPr>
          <w:ilvl w:val="0"/>
          <w:numId w:val="21"/>
        </w:numPr>
        <w:spacing w:after="0" w:line="280" w:lineRule="atLeast"/>
        <w:rPr>
          <w:rFonts w:ascii="Times New Roman" w:hAnsi="Times New Roman" w:cs="Times New Roman"/>
          <w:snapToGrid w:val="0"/>
        </w:rPr>
      </w:pPr>
      <w:r w:rsidRPr="00E82113">
        <w:rPr>
          <w:rFonts w:ascii="Times New Roman" w:hAnsi="Times New Roman" w:cs="Times New Roman"/>
          <w:b/>
          <w:snapToGrid w:val="0"/>
        </w:rPr>
        <w:t xml:space="preserve">Replication of smart beta strategies are chosen for the following reasons: </w:t>
      </w:r>
      <w:r w:rsidRPr="00E82113">
        <w:rPr>
          <w:rFonts w:ascii="Times New Roman" w:hAnsi="Times New Roman" w:cs="Times New Roman"/>
          <w:snapToGrid w:val="0"/>
        </w:rPr>
        <w:t>costs, transparency of methodology and availability of information, which represent the main reasons why passive strategies are normally selected</w:t>
      </w:r>
      <w:r w:rsidR="006114FF" w:rsidRPr="006114FF">
        <w:rPr>
          <w:rFonts w:ascii="Times New Roman" w:hAnsi="Times New Roman" w:cs="Times New Roman"/>
          <w:snapToGrid w:val="0"/>
        </w:rPr>
        <w:t>.</w:t>
      </w:r>
      <w:r w:rsidRPr="00E82113">
        <w:rPr>
          <w:rFonts w:ascii="Times New Roman" w:hAnsi="Times New Roman" w:cs="Times New Roman"/>
          <w:snapToGrid w:val="0"/>
        </w:rPr>
        <w:t xml:space="preserve"> </w:t>
      </w:r>
      <w:r w:rsidRPr="00E82113">
        <w:rPr>
          <w:rFonts w:ascii="Times New Roman" w:hAnsi="Times New Roman" w:cs="Times New Roman"/>
          <w:b/>
          <w:snapToGrid w:val="0"/>
        </w:rPr>
        <w:t xml:space="preserve">Discretionary strategies are preferred for the reactivity </w:t>
      </w:r>
      <w:r w:rsidR="00071E7E">
        <w:rPr>
          <w:rFonts w:ascii="Times New Roman" w:hAnsi="Times New Roman" w:cs="Times New Roman"/>
          <w:b/>
          <w:snapToGrid w:val="0"/>
        </w:rPr>
        <w:t>and</w:t>
      </w:r>
      <w:r w:rsidRPr="00E82113">
        <w:rPr>
          <w:rFonts w:ascii="Times New Roman" w:hAnsi="Times New Roman" w:cs="Times New Roman"/>
          <w:b/>
          <w:snapToGrid w:val="0"/>
        </w:rPr>
        <w:t xml:space="preserve"> dynamism they allow</w:t>
      </w:r>
      <w:r w:rsidRPr="00E82113">
        <w:rPr>
          <w:rFonts w:ascii="Times New Roman" w:hAnsi="Times New Roman" w:cs="Times New Roman"/>
          <w:snapToGrid w:val="0"/>
        </w:rPr>
        <w:t xml:space="preserve">, with 68% of respondents indicating the ease to change portfolio allocation as the </w:t>
      </w:r>
      <w:r w:rsidR="00071E7E">
        <w:rPr>
          <w:rFonts w:ascii="Times New Roman" w:hAnsi="Times New Roman" w:cs="Times New Roman"/>
          <w:snapToGrid w:val="0"/>
        </w:rPr>
        <w:t>principal</w:t>
      </w:r>
      <w:r w:rsidR="00071E7E" w:rsidRPr="00E82113">
        <w:rPr>
          <w:rFonts w:ascii="Times New Roman" w:hAnsi="Times New Roman" w:cs="Times New Roman"/>
          <w:snapToGrid w:val="0"/>
        </w:rPr>
        <w:t xml:space="preserve"> </w:t>
      </w:r>
      <w:r w:rsidRPr="00E82113">
        <w:rPr>
          <w:rFonts w:ascii="Times New Roman" w:hAnsi="Times New Roman" w:cs="Times New Roman"/>
          <w:snapToGrid w:val="0"/>
        </w:rPr>
        <w:t>advantage.</w:t>
      </w:r>
    </w:p>
    <w:p w:rsidR="00DE2760" w:rsidRPr="00E82113" w:rsidRDefault="005B1F8D" w:rsidP="00E04365">
      <w:pPr>
        <w:pStyle w:val="ListParagraph"/>
        <w:numPr>
          <w:ilvl w:val="0"/>
          <w:numId w:val="21"/>
        </w:numPr>
        <w:tabs>
          <w:tab w:val="clear" w:pos="709"/>
        </w:tabs>
        <w:spacing w:after="200" w:line="276" w:lineRule="auto"/>
        <w:rPr>
          <w:rFonts w:ascii="Times New Roman" w:eastAsia="Times New Roman" w:hAnsi="Times New Roman" w:cs="Times New Roman"/>
          <w:lang w:eastAsia="de-DE"/>
        </w:rPr>
      </w:pPr>
      <w:r w:rsidRPr="00E82113">
        <w:rPr>
          <w:rFonts w:ascii="Times New Roman" w:eastAsia="Times New Roman" w:hAnsi="Times New Roman" w:cs="Times New Roman"/>
          <w:lang w:eastAsia="de-DE"/>
        </w:rPr>
        <w:lastRenderedPageBreak/>
        <w:t xml:space="preserve">The </w:t>
      </w:r>
      <w:r w:rsidR="00071E7E">
        <w:rPr>
          <w:rFonts w:ascii="Times New Roman" w:eastAsia="Times New Roman" w:hAnsi="Times New Roman" w:cs="Times New Roman"/>
          <w:lang w:eastAsia="de-DE"/>
        </w:rPr>
        <w:t xml:space="preserve">pieces of </w:t>
      </w:r>
      <w:r w:rsidRPr="00E82113">
        <w:rPr>
          <w:rFonts w:ascii="Times New Roman" w:eastAsia="Times New Roman" w:hAnsi="Times New Roman" w:cs="Times New Roman"/>
          <w:lang w:eastAsia="de-DE"/>
        </w:rPr>
        <w:t xml:space="preserve">information respondents consider important for assessing smart beta products </w:t>
      </w:r>
      <w:r w:rsidR="003853C0" w:rsidRPr="00E82113">
        <w:rPr>
          <w:rFonts w:ascii="Times New Roman" w:eastAsia="Times New Roman" w:hAnsi="Times New Roman" w:cs="Times New Roman"/>
          <w:lang w:eastAsia="de-DE"/>
        </w:rPr>
        <w:t xml:space="preserve">are </w:t>
      </w:r>
      <w:r w:rsidR="003853C0" w:rsidRPr="00E82113">
        <w:rPr>
          <w:rFonts w:ascii="Times New Roman" w:eastAsia="Times New Roman" w:hAnsi="Times New Roman" w:cs="Times New Roman"/>
          <w:b/>
          <w:lang w:eastAsia="de-DE"/>
        </w:rPr>
        <w:t>l</w:t>
      </w:r>
      <w:r w:rsidRPr="00E82113">
        <w:rPr>
          <w:rFonts w:ascii="Times New Roman" w:eastAsia="Times New Roman" w:hAnsi="Times New Roman" w:cs="Times New Roman"/>
          <w:b/>
          <w:lang w:eastAsia="de-DE"/>
        </w:rPr>
        <w:t xml:space="preserve">iquidity and capacity, index construction methodology and transaction costs. </w:t>
      </w:r>
      <w:r w:rsidR="00416F91" w:rsidRPr="00E82113">
        <w:rPr>
          <w:rFonts w:ascii="Times New Roman" w:eastAsia="Times New Roman" w:hAnsi="Times New Roman" w:cs="Times New Roman"/>
          <w:b/>
          <w:lang w:eastAsia="de-DE"/>
        </w:rPr>
        <w:t>There is a</w:t>
      </w:r>
      <w:r w:rsidR="000E55ED" w:rsidRPr="00E82113">
        <w:rPr>
          <w:rFonts w:ascii="Times New Roman" w:eastAsia="Times New Roman" w:hAnsi="Times New Roman" w:cs="Times New Roman"/>
          <w:b/>
          <w:lang w:eastAsia="de-DE"/>
        </w:rPr>
        <w:t>n important</w:t>
      </w:r>
      <w:r w:rsidR="00416F91" w:rsidRPr="00E82113">
        <w:rPr>
          <w:rFonts w:ascii="Times New Roman" w:eastAsia="Times New Roman" w:hAnsi="Times New Roman" w:cs="Times New Roman"/>
          <w:b/>
          <w:lang w:eastAsia="de-DE"/>
        </w:rPr>
        <w:t xml:space="preserve"> gap between required information and ease </w:t>
      </w:r>
      <w:r w:rsidR="00071E7E">
        <w:rPr>
          <w:rFonts w:ascii="Times New Roman" w:eastAsia="Times New Roman" w:hAnsi="Times New Roman" w:cs="Times New Roman"/>
          <w:b/>
          <w:lang w:eastAsia="de-DE"/>
        </w:rPr>
        <w:t>of</w:t>
      </w:r>
      <w:r w:rsidR="00071E7E" w:rsidRPr="00E82113">
        <w:rPr>
          <w:rFonts w:ascii="Times New Roman" w:eastAsia="Times New Roman" w:hAnsi="Times New Roman" w:cs="Times New Roman"/>
          <w:b/>
          <w:lang w:eastAsia="de-DE"/>
        </w:rPr>
        <w:t xml:space="preserve"> </w:t>
      </w:r>
      <w:r w:rsidR="00416F91" w:rsidRPr="00E82113">
        <w:rPr>
          <w:rFonts w:ascii="Times New Roman" w:eastAsia="Times New Roman" w:hAnsi="Times New Roman" w:cs="Times New Roman"/>
          <w:b/>
          <w:lang w:eastAsia="de-DE"/>
        </w:rPr>
        <w:t>access to this information</w:t>
      </w:r>
      <w:r w:rsidR="001A50D7" w:rsidRPr="00E82113">
        <w:rPr>
          <w:rFonts w:ascii="Times New Roman" w:eastAsia="Times New Roman" w:hAnsi="Times New Roman" w:cs="Times New Roman"/>
          <w:b/>
          <w:lang w:eastAsia="de-DE"/>
        </w:rPr>
        <w:t>.</w:t>
      </w:r>
      <w:r w:rsidR="001A50D7" w:rsidRPr="00E82113">
        <w:rPr>
          <w:rFonts w:ascii="Times New Roman" w:eastAsia="Times New Roman" w:hAnsi="Times New Roman" w:cs="Times New Roman"/>
          <w:lang w:eastAsia="de-DE"/>
        </w:rPr>
        <w:t xml:space="preserve"> For example</w:t>
      </w:r>
      <w:r w:rsidR="00071E7E">
        <w:rPr>
          <w:rFonts w:ascii="Times New Roman" w:eastAsia="Times New Roman" w:hAnsi="Times New Roman" w:cs="Times New Roman"/>
          <w:lang w:eastAsia="de-DE"/>
        </w:rPr>
        <w:t>,</w:t>
      </w:r>
      <w:r w:rsidR="001A50D7" w:rsidRPr="00E82113">
        <w:rPr>
          <w:rFonts w:ascii="Times New Roman" w:eastAsia="Times New Roman" w:hAnsi="Times New Roman" w:cs="Times New Roman"/>
          <w:lang w:eastAsia="de-DE"/>
        </w:rPr>
        <w:t xml:space="preserve"> data</w:t>
      </w:r>
      <w:r w:rsidR="00071E7E">
        <w:rPr>
          <w:rFonts w:ascii="Times New Roman" w:eastAsia="Times New Roman" w:hAnsi="Times New Roman" w:cs="Times New Roman"/>
          <w:lang w:eastAsia="de-DE"/>
        </w:rPr>
        <w:t>-</w:t>
      </w:r>
      <w:r w:rsidR="001A50D7" w:rsidRPr="00E82113">
        <w:rPr>
          <w:rFonts w:ascii="Times New Roman" w:eastAsia="Times New Roman" w:hAnsi="Times New Roman" w:cs="Times New Roman"/>
          <w:lang w:eastAsia="de-DE"/>
        </w:rPr>
        <w:t>mining risk</w:t>
      </w:r>
      <w:r w:rsidR="00380C76" w:rsidRPr="00E82113">
        <w:rPr>
          <w:rFonts w:ascii="Times New Roman" w:eastAsia="Times New Roman" w:hAnsi="Times New Roman" w:cs="Times New Roman"/>
          <w:lang w:eastAsia="de-DE"/>
        </w:rPr>
        <w:t xml:space="preserve"> and liquidity and capacity</w:t>
      </w:r>
      <w:r w:rsidR="00071E7E">
        <w:rPr>
          <w:rFonts w:ascii="Times New Roman" w:eastAsia="Times New Roman" w:hAnsi="Times New Roman" w:cs="Times New Roman"/>
          <w:lang w:eastAsia="de-DE"/>
        </w:rPr>
        <w:t>,</w:t>
      </w:r>
      <w:r w:rsidR="00380C76" w:rsidRPr="00E82113">
        <w:rPr>
          <w:rFonts w:ascii="Times New Roman" w:eastAsia="Times New Roman" w:hAnsi="Times New Roman" w:cs="Times New Roman"/>
          <w:lang w:eastAsia="de-DE"/>
        </w:rPr>
        <w:t xml:space="preserve"> which are crucial for respondents</w:t>
      </w:r>
      <w:r w:rsidR="00071E7E">
        <w:rPr>
          <w:rFonts w:ascii="Times New Roman" w:eastAsia="Times New Roman" w:hAnsi="Times New Roman" w:cs="Times New Roman"/>
          <w:lang w:eastAsia="de-DE"/>
        </w:rPr>
        <w:t>,</w:t>
      </w:r>
      <w:r w:rsidR="00380C76" w:rsidRPr="00E82113">
        <w:rPr>
          <w:rFonts w:ascii="Times New Roman" w:eastAsia="Times New Roman" w:hAnsi="Times New Roman" w:cs="Times New Roman"/>
          <w:lang w:eastAsia="de-DE"/>
        </w:rPr>
        <w:t xml:space="preserve"> </w:t>
      </w:r>
      <w:r w:rsidR="00071E7E">
        <w:rPr>
          <w:rFonts w:ascii="Times New Roman" w:eastAsia="Times New Roman" w:hAnsi="Times New Roman" w:cs="Times New Roman"/>
          <w:lang w:eastAsia="de-DE"/>
        </w:rPr>
        <w:t xml:space="preserve">are </w:t>
      </w:r>
      <w:r w:rsidR="00380C76" w:rsidRPr="00E82113">
        <w:rPr>
          <w:rFonts w:ascii="Times New Roman" w:eastAsia="Times New Roman" w:hAnsi="Times New Roman" w:cs="Times New Roman"/>
          <w:lang w:eastAsia="de-DE"/>
        </w:rPr>
        <w:t xml:space="preserve">among the most difficult </w:t>
      </w:r>
      <w:r w:rsidR="00071E7E">
        <w:rPr>
          <w:rFonts w:ascii="Times New Roman" w:eastAsia="Times New Roman" w:hAnsi="Times New Roman" w:cs="Times New Roman"/>
          <w:lang w:eastAsia="de-DE"/>
        </w:rPr>
        <w:t xml:space="preserve">pieces of </w:t>
      </w:r>
      <w:r w:rsidR="00380C76" w:rsidRPr="00E82113">
        <w:rPr>
          <w:rFonts w:ascii="Times New Roman" w:eastAsia="Times New Roman" w:hAnsi="Times New Roman" w:cs="Times New Roman"/>
          <w:lang w:eastAsia="de-DE"/>
        </w:rPr>
        <w:t>information to obtain.</w:t>
      </w:r>
    </w:p>
    <w:p w:rsidR="003A22BC" w:rsidRPr="00E82113" w:rsidRDefault="003A22BC" w:rsidP="00BC6E06">
      <w:pPr>
        <w:spacing w:line="280" w:lineRule="atLeast"/>
        <w:jc w:val="both"/>
        <w:rPr>
          <w:i/>
          <w:snapToGrid w:val="0"/>
          <w:sz w:val="22"/>
          <w:szCs w:val="22"/>
        </w:rPr>
      </w:pPr>
    </w:p>
    <w:p w:rsidR="00BC6E06" w:rsidRPr="00E82113" w:rsidRDefault="00D87D56" w:rsidP="00BC6E06">
      <w:pPr>
        <w:spacing w:line="280" w:lineRule="atLeast"/>
        <w:jc w:val="both"/>
        <w:rPr>
          <w:i/>
          <w:snapToGrid w:val="0"/>
          <w:sz w:val="22"/>
          <w:szCs w:val="22"/>
        </w:rPr>
      </w:pPr>
      <w:r w:rsidRPr="00E82113">
        <w:rPr>
          <w:i/>
          <w:snapToGrid w:val="0"/>
          <w:sz w:val="22"/>
          <w:szCs w:val="22"/>
        </w:rPr>
        <w:t>FUTUR</w:t>
      </w:r>
      <w:r w:rsidR="00D4037B" w:rsidRPr="00E82113">
        <w:rPr>
          <w:i/>
          <w:snapToGrid w:val="0"/>
          <w:sz w:val="22"/>
          <w:szCs w:val="22"/>
        </w:rPr>
        <w:t>E</w:t>
      </w:r>
      <w:r w:rsidRPr="00E82113">
        <w:rPr>
          <w:i/>
          <w:snapToGrid w:val="0"/>
          <w:sz w:val="22"/>
          <w:szCs w:val="22"/>
        </w:rPr>
        <w:t xml:space="preserve"> DEVELOP</w:t>
      </w:r>
      <w:r w:rsidR="00380C76" w:rsidRPr="00E82113">
        <w:rPr>
          <w:i/>
          <w:snapToGrid w:val="0"/>
          <w:sz w:val="22"/>
          <w:szCs w:val="22"/>
        </w:rPr>
        <w:t>M</w:t>
      </w:r>
      <w:r w:rsidRPr="00E82113">
        <w:rPr>
          <w:i/>
          <w:snapToGrid w:val="0"/>
          <w:sz w:val="22"/>
          <w:szCs w:val="22"/>
        </w:rPr>
        <w:t>ENTS</w:t>
      </w:r>
      <w:r w:rsidR="00DA1390" w:rsidRPr="00E82113">
        <w:rPr>
          <w:i/>
          <w:snapToGrid w:val="0"/>
          <w:sz w:val="22"/>
          <w:szCs w:val="22"/>
        </w:rPr>
        <w:t xml:space="preserve"> ON ETF &amp; SMART BETA PRODUCTS</w:t>
      </w:r>
    </w:p>
    <w:p w:rsidR="00DE2760" w:rsidRPr="00E82113" w:rsidRDefault="00DE2760" w:rsidP="00BC6E06">
      <w:pPr>
        <w:spacing w:line="280" w:lineRule="atLeast"/>
        <w:jc w:val="both"/>
        <w:rPr>
          <w:snapToGrid w:val="0"/>
          <w:sz w:val="22"/>
          <w:szCs w:val="22"/>
        </w:rPr>
      </w:pPr>
    </w:p>
    <w:p w:rsidR="005B1F8D" w:rsidRPr="00E82113" w:rsidRDefault="00421993" w:rsidP="005B1F8D">
      <w:pPr>
        <w:pStyle w:val="ListParagraph"/>
        <w:numPr>
          <w:ilvl w:val="0"/>
          <w:numId w:val="21"/>
        </w:numPr>
        <w:spacing w:after="200" w:line="276" w:lineRule="auto"/>
        <w:rPr>
          <w:rFonts w:ascii="Times New Roman" w:eastAsia="Times New Roman" w:hAnsi="Times New Roman" w:cs="Times New Roman"/>
          <w:lang w:eastAsia="de-DE"/>
        </w:rPr>
      </w:pPr>
      <w:r w:rsidRPr="00E82113">
        <w:rPr>
          <w:rFonts w:ascii="Times New Roman" w:eastAsia="Times New Roman" w:hAnsi="Times New Roman" w:cs="Times New Roman"/>
          <w:b/>
          <w:lang w:eastAsia="de-DE"/>
        </w:rPr>
        <w:t>63% of investors actually plan</w:t>
      </w:r>
      <w:r w:rsidR="005B1F8D" w:rsidRPr="00E82113">
        <w:rPr>
          <w:rFonts w:ascii="Times New Roman" w:eastAsia="Times New Roman" w:hAnsi="Times New Roman" w:cs="Times New Roman"/>
          <w:b/>
          <w:lang w:eastAsia="de-DE"/>
        </w:rPr>
        <w:t xml:space="preserve"> to increase their use of ETFs </w:t>
      </w:r>
      <w:r w:rsidR="005B1F8D" w:rsidRPr="00E82113">
        <w:rPr>
          <w:rFonts w:ascii="Times New Roman" w:eastAsia="Times New Roman" w:hAnsi="Times New Roman" w:cs="Times New Roman"/>
          <w:lang w:eastAsia="de-DE"/>
        </w:rPr>
        <w:t xml:space="preserve">in the future despite the already high maturity of this market and </w:t>
      </w:r>
      <w:r w:rsidR="002D633D" w:rsidRPr="00E82113">
        <w:rPr>
          <w:rFonts w:ascii="Times New Roman" w:eastAsia="Times New Roman" w:hAnsi="Times New Roman" w:cs="Times New Roman"/>
          <w:lang w:eastAsia="de-DE"/>
        </w:rPr>
        <w:t>the</w:t>
      </w:r>
      <w:r w:rsidR="005B1F8D" w:rsidRPr="00E82113">
        <w:rPr>
          <w:rFonts w:ascii="Times New Roman" w:eastAsia="Times New Roman" w:hAnsi="Times New Roman" w:cs="Times New Roman"/>
          <w:lang w:eastAsia="de-DE"/>
        </w:rPr>
        <w:t xml:space="preserve"> current adoption rates (compared with 55% in 2014 and 57% in 2015)</w:t>
      </w:r>
      <w:r w:rsidR="00D66342" w:rsidRPr="00E82113">
        <w:rPr>
          <w:rFonts w:ascii="Times New Roman" w:eastAsia="Times New Roman" w:hAnsi="Times New Roman" w:cs="Times New Roman"/>
          <w:lang w:eastAsia="de-DE"/>
        </w:rPr>
        <w:t>.</w:t>
      </w:r>
    </w:p>
    <w:p w:rsidR="00513D31" w:rsidRPr="00E82113" w:rsidRDefault="00513D31" w:rsidP="00513D31">
      <w:pPr>
        <w:pStyle w:val="ListParagraph"/>
        <w:numPr>
          <w:ilvl w:val="0"/>
          <w:numId w:val="21"/>
        </w:numPr>
        <w:tabs>
          <w:tab w:val="clear" w:pos="709"/>
        </w:tabs>
        <w:spacing w:after="200" w:line="276" w:lineRule="auto"/>
        <w:rPr>
          <w:rFonts w:ascii="Times New Roman" w:eastAsia="Times New Roman" w:hAnsi="Times New Roman" w:cs="Times New Roman"/>
          <w:lang w:eastAsia="de-DE"/>
        </w:rPr>
      </w:pPr>
      <w:r w:rsidRPr="00E82113">
        <w:rPr>
          <w:rFonts w:ascii="Times New Roman" w:eastAsia="Times New Roman" w:hAnsi="Times New Roman" w:cs="Times New Roman"/>
          <w:b/>
          <w:lang w:eastAsia="de-DE"/>
        </w:rPr>
        <w:t>Lowering investment cost is the primary driver behind investors’ future adoption of ETFs</w:t>
      </w:r>
      <w:r w:rsidRPr="00E82113">
        <w:rPr>
          <w:rFonts w:ascii="Times New Roman" w:eastAsia="Times New Roman" w:hAnsi="Times New Roman" w:cs="Times New Roman"/>
          <w:lang w:eastAsia="de-DE"/>
        </w:rPr>
        <w:t xml:space="preserve"> for 87%</w:t>
      </w:r>
      <w:r w:rsidR="0045100F">
        <w:rPr>
          <w:rFonts w:ascii="Times New Roman" w:eastAsia="Times New Roman" w:hAnsi="Times New Roman" w:cs="Times New Roman"/>
          <w:lang w:eastAsia="de-DE"/>
        </w:rPr>
        <w:t xml:space="preserve"> of respondents</w:t>
      </w:r>
      <w:r w:rsidR="00D66342" w:rsidRPr="00E82113">
        <w:rPr>
          <w:rFonts w:ascii="Times New Roman" w:eastAsia="Times New Roman" w:hAnsi="Times New Roman" w:cs="Times New Roman"/>
          <w:lang w:eastAsia="de-DE"/>
        </w:rPr>
        <w:t>.</w:t>
      </w:r>
    </w:p>
    <w:p w:rsidR="000E55ED" w:rsidRPr="00E82113" w:rsidRDefault="00BD5A22" w:rsidP="00421993">
      <w:pPr>
        <w:pStyle w:val="ListParagraph"/>
        <w:numPr>
          <w:ilvl w:val="0"/>
          <w:numId w:val="21"/>
        </w:numPr>
        <w:tabs>
          <w:tab w:val="clear" w:pos="709"/>
        </w:tabs>
        <w:spacing w:after="200" w:line="276" w:lineRule="auto"/>
        <w:rPr>
          <w:rFonts w:ascii="Times New Roman" w:eastAsia="Times New Roman" w:hAnsi="Times New Roman" w:cs="Times New Roman"/>
          <w:lang w:eastAsia="de-DE"/>
        </w:rPr>
      </w:pPr>
      <w:r w:rsidRPr="00E82113">
        <w:rPr>
          <w:rFonts w:ascii="Times New Roman" w:hAnsi="Times New Roman" w:cs="Times New Roman"/>
          <w:lang w:eastAsia="de-DE"/>
        </w:rPr>
        <w:t xml:space="preserve">Top concerns for the respondents </w:t>
      </w:r>
      <w:r w:rsidR="00D4037B" w:rsidRPr="00E82113">
        <w:rPr>
          <w:rFonts w:ascii="Times New Roman" w:hAnsi="Times New Roman" w:cs="Times New Roman"/>
          <w:lang w:eastAsia="de-DE"/>
        </w:rPr>
        <w:t>(</w:t>
      </w:r>
      <w:r w:rsidR="000E55ED" w:rsidRPr="00E82113">
        <w:rPr>
          <w:rFonts w:ascii="Times New Roman" w:eastAsia="Times New Roman" w:hAnsi="Times New Roman" w:cs="Times New Roman"/>
          <w:lang w:eastAsia="de-DE"/>
        </w:rPr>
        <w:t>54%</w:t>
      </w:r>
      <w:r w:rsidR="00D4037B" w:rsidRPr="00E82113">
        <w:rPr>
          <w:rFonts w:ascii="Times New Roman" w:eastAsia="Times New Roman" w:hAnsi="Times New Roman" w:cs="Times New Roman"/>
          <w:lang w:eastAsia="de-DE"/>
        </w:rPr>
        <w:t>)</w:t>
      </w:r>
      <w:r w:rsidR="000E55ED" w:rsidRPr="00E82113">
        <w:rPr>
          <w:rFonts w:ascii="Times New Roman" w:eastAsia="Times New Roman" w:hAnsi="Times New Roman" w:cs="Times New Roman"/>
          <w:lang w:eastAsia="de-DE"/>
        </w:rPr>
        <w:t xml:space="preserve"> </w:t>
      </w:r>
      <w:r w:rsidR="00D4037B" w:rsidRPr="00E82113">
        <w:rPr>
          <w:rFonts w:ascii="Times New Roman" w:eastAsia="Times New Roman" w:hAnsi="Times New Roman" w:cs="Times New Roman"/>
          <w:lang w:eastAsia="de-DE"/>
        </w:rPr>
        <w:t xml:space="preserve">are the developments of ETFs </w:t>
      </w:r>
      <w:r w:rsidR="000E55ED" w:rsidRPr="00E82113">
        <w:rPr>
          <w:rFonts w:ascii="Times New Roman" w:eastAsia="Times New Roman" w:hAnsi="Times New Roman" w:cs="Times New Roman"/>
          <w:lang w:eastAsia="de-DE"/>
        </w:rPr>
        <w:t xml:space="preserve">in at least one of the </w:t>
      </w:r>
      <w:r w:rsidR="00D4037B" w:rsidRPr="00E82113">
        <w:rPr>
          <w:rFonts w:ascii="Times New Roman" w:eastAsia="Times New Roman" w:hAnsi="Times New Roman" w:cs="Times New Roman"/>
          <w:lang w:eastAsia="de-DE"/>
        </w:rPr>
        <w:t xml:space="preserve">following </w:t>
      </w:r>
      <w:r w:rsidR="000E55ED" w:rsidRPr="00E82113">
        <w:rPr>
          <w:rFonts w:ascii="Times New Roman" w:eastAsia="Times New Roman" w:hAnsi="Times New Roman" w:cs="Times New Roman"/>
          <w:lang w:eastAsia="de-DE"/>
        </w:rPr>
        <w:t>th</w:t>
      </w:r>
      <w:r w:rsidRPr="00E82113">
        <w:rPr>
          <w:rFonts w:ascii="Times New Roman" w:eastAsia="Times New Roman" w:hAnsi="Times New Roman" w:cs="Times New Roman"/>
          <w:lang w:eastAsia="de-DE"/>
        </w:rPr>
        <w:t>r</w:t>
      </w:r>
      <w:r w:rsidR="000E55ED" w:rsidRPr="00E82113">
        <w:rPr>
          <w:rFonts w:ascii="Times New Roman" w:eastAsia="Times New Roman" w:hAnsi="Times New Roman" w:cs="Times New Roman"/>
          <w:lang w:eastAsia="de-DE"/>
        </w:rPr>
        <w:t>ee categories</w:t>
      </w:r>
      <w:r w:rsidR="00D4037B" w:rsidRPr="00E82113">
        <w:rPr>
          <w:rFonts w:ascii="Times New Roman" w:eastAsia="Times New Roman" w:hAnsi="Times New Roman" w:cs="Times New Roman"/>
          <w:lang w:eastAsia="de-DE"/>
        </w:rPr>
        <w:t xml:space="preserve">: </w:t>
      </w:r>
      <w:r w:rsidR="000E55ED" w:rsidRPr="00E82113">
        <w:rPr>
          <w:rFonts w:ascii="Times New Roman" w:eastAsia="Times New Roman" w:hAnsi="Times New Roman" w:cs="Times New Roman"/>
          <w:b/>
          <w:lang w:eastAsia="de-DE"/>
        </w:rPr>
        <w:t>ETFs based on smart beta indices, on multi-factor indices, and on single</w:t>
      </w:r>
      <w:r w:rsidR="0045100F">
        <w:rPr>
          <w:rFonts w:ascii="Times New Roman" w:eastAsia="Times New Roman" w:hAnsi="Times New Roman" w:cs="Times New Roman"/>
          <w:b/>
          <w:lang w:eastAsia="de-DE"/>
        </w:rPr>
        <w:t>-</w:t>
      </w:r>
      <w:r w:rsidR="000E55ED" w:rsidRPr="00E82113">
        <w:rPr>
          <w:rFonts w:ascii="Times New Roman" w:eastAsia="Times New Roman" w:hAnsi="Times New Roman" w:cs="Times New Roman"/>
          <w:b/>
          <w:lang w:eastAsia="de-DE"/>
        </w:rPr>
        <w:t>factor indices.</w:t>
      </w:r>
      <w:r w:rsidR="006A461E" w:rsidRPr="00E82113">
        <w:rPr>
          <w:rFonts w:ascii="Times New Roman" w:eastAsia="Times New Roman" w:hAnsi="Times New Roman" w:cs="Times New Roman"/>
          <w:lang w:eastAsia="de-DE"/>
        </w:rPr>
        <w:t xml:space="preserve"> The development</w:t>
      </w:r>
      <w:r w:rsidR="00D4037B" w:rsidRPr="00E82113">
        <w:rPr>
          <w:rFonts w:ascii="Times New Roman" w:eastAsia="Times New Roman" w:hAnsi="Times New Roman" w:cs="Times New Roman"/>
          <w:lang w:eastAsia="de-DE"/>
        </w:rPr>
        <w:t xml:space="preserve"> of </w:t>
      </w:r>
      <w:r w:rsidR="00D4037B" w:rsidRPr="00E82113">
        <w:rPr>
          <w:rFonts w:ascii="Times New Roman" w:eastAsia="Times New Roman" w:hAnsi="Times New Roman" w:cs="Times New Roman"/>
          <w:b/>
          <w:lang w:eastAsia="de-DE"/>
        </w:rPr>
        <w:t>ETFs in the equity asset class</w:t>
      </w:r>
      <w:r w:rsidR="00D4037B" w:rsidRPr="00E82113">
        <w:rPr>
          <w:rFonts w:ascii="Times New Roman" w:eastAsia="Times New Roman" w:hAnsi="Times New Roman" w:cs="Times New Roman"/>
          <w:lang w:eastAsia="de-DE"/>
        </w:rPr>
        <w:t xml:space="preserve"> is also one of the top concerns of respondents.</w:t>
      </w:r>
    </w:p>
    <w:p w:rsidR="006B7826" w:rsidRPr="00E82113" w:rsidRDefault="00876D13" w:rsidP="00421993">
      <w:pPr>
        <w:pStyle w:val="ListParagraph"/>
        <w:numPr>
          <w:ilvl w:val="0"/>
          <w:numId w:val="21"/>
        </w:numPr>
        <w:spacing w:after="200" w:line="276" w:lineRule="auto"/>
        <w:rPr>
          <w:rFonts w:ascii="Times New Roman" w:eastAsia="Times New Roman" w:hAnsi="Times New Roman" w:cs="Times New Roman"/>
          <w:lang w:eastAsia="de-DE"/>
        </w:rPr>
      </w:pPr>
      <w:r>
        <w:rPr>
          <w:rFonts w:ascii="Times New Roman" w:eastAsia="Times New Roman" w:hAnsi="Times New Roman" w:cs="Times New Roman"/>
          <w:b/>
          <w:lang w:eastAsia="de-DE"/>
        </w:rPr>
        <w:t>The</w:t>
      </w:r>
      <w:r w:rsidR="006B7826" w:rsidRPr="00E82113">
        <w:rPr>
          <w:rFonts w:ascii="Times New Roman" w:eastAsia="Times New Roman" w:hAnsi="Times New Roman" w:cs="Times New Roman"/>
          <w:b/>
          <w:lang w:eastAsia="de-DE"/>
        </w:rPr>
        <w:t xml:space="preserve"> vast majority of respondents (94%) plan to increase their investment in smart beta products</w:t>
      </w:r>
      <w:r w:rsidR="006B7826" w:rsidRPr="00E82113">
        <w:rPr>
          <w:rFonts w:ascii="Times New Roman" w:eastAsia="Times New Roman" w:hAnsi="Times New Roman" w:cs="Times New Roman"/>
          <w:lang w:eastAsia="de-DE"/>
        </w:rPr>
        <w:t xml:space="preserve"> over the next three years</w:t>
      </w:r>
      <w:r w:rsidR="00D66342" w:rsidRPr="00E82113">
        <w:rPr>
          <w:rFonts w:ascii="Times New Roman" w:eastAsia="Times New Roman" w:hAnsi="Times New Roman" w:cs="Times New Roman"/>
          <w:lang w:eastAsia="de-DE"/>
        </w:rPr>
        <w:t>.</w:t>
      </w:r>
    </w:p>
    <w:p w:rsidR="00DE2760" w:rsidRPr="00E82113" w:rsidRDefault="00015EC6" w:rsidP="00E04365">
      <w:pPr>
        <w:pStyle w:val="ListParagraph"/>
        <w:numPr>
          <w:ilvl w:val="0"/>
          <w:numId w:val="21"/>
        </w:numPr>
        <w:spacing w:after="200" w:line="276" w:lineRule="auto"/>
        <w:rPr>
          <w:rFonts w:ascii="Times New Roman" w:eastAsia="Times New Roman" w:hAnsi="Times New Roman" w:cs="Times New Roman"/>
          <w:lang w:eastAsia="de-DE"/>
        </w:rPr>
      </w:pPr>
      <w:r w:rsidRPr="00E82113">
        <w:rPr>
          <w:rFonts w:ascii="Times New Roman" w:eastAsia="Times New Roman" w:hAnsi="Times New Roman" w:cs="Times New Roman"/>
          <w:lang w:eastAsia="de-DE"/>
        </w:rPr>
        <w:t>When asked about the smart beta solutions they think required further product development from providers, r</w:t>
      </w:r>
      <w:r w:rsidR="00BD5A22" w:rsidRPr="00E82113">
        <w:rPr>
          <w:rFonts w:ascii="Times New Roman" w:eastAsia="Times New Roman" w:hAnsi="Times New Roman" w:cs="Times New Roman"/>
          <w:lang w:eastAsia="de-DE"/>
        </w:rPr>
        <w:t>esults indicate</w:t>
      </w:r>
      <w:r w:rsidR="00876D13">
        <w:rPr>
          <w:rFonts w:ascii="Times New Roman" w:eastAsia="Times New Roman" w:hAnsi="Times New Roman" w:cs="Times New Roman"/>
          <w:lang w:eastAsia="de-DE"/>
        </w:rPr>
        <w:t>d</w:t>
      </w:r>
      <w:r w:rsidR="00BD5A22" w:rsidRPr="00E82113">
        <w:rPr>
          <w:rFonts w:ascii="Times New Roman" w:eastAsia="Times New Roman" w:hAnsi="Times New Roman" w:cs="Times New Roman"/>
          <w:lang w:eastAsia="de-DE"/>
        </w:rPr>
        <w:t xml:space="preserve"> </w:t>
      </w:r>
      <w:r w:rsidR="00517D9F" w:rsidRPr="00E82113">
        <w:rPr>
          <w:rFonts w:ascii="Times New Roman" w:eastAsia="Times New Roman" w:hAnsi="Times New Roman" w:cs="Times New Roman"/>
          <w:lang w:eastAsia="de-DE"/>
        </w:rPr>
        <w:t>the area</w:t>
      </w:r>
      <w:r w:rsidR="00876D13">
        <w:rPr>
          <w:rFonts w:ascii="Times New Roman" w:eastAsia="Times New Roman" w:hAnsi="Times New Roman" w:cs="Times New Roman"/>
          <w:lang w:eastAsia="de-DE"/>
        </w:rPr>
        <w:t>s</w:t>
      </w:r>
      <w:r w:rsidR="00517D9F" w:rsidRPr="00E82113">
        <w:rPr>
          <w:rFonts w:ascii="Times New Roman" w:eastAsia="Times New Roman" w:hAnsi="Times New Roman" w:cs="Times New Roman"/>
          <w:lang w:eastAsia="de-DE"/>
        </w:rPr>
        <w:t xml:space="preserve"> </w:t>
      </w:r>
      <w:r w:rsidR="00BD5A22" w:rsidRPr="00E82113">
        <w:rPr>
          <w:rFonts w:ascii="Times New Roman" w:eastAsia="Times New Roman" w:hAnsi="Times New Roman" w:cs="Times New Roman"/>
          <w:lang w:eastAsia="de-DE"/>
        </w:rPr>
        <w:t xml:space="preserve">of </w:t>
      </w:r>
      <w:r w:rsidR="00BD5A22" w:rsidRPr="00E82113">
        <w:rPr>
          <w:rFonts w:ascii="Times New Roman" w:eastAsia="Times New Roman" w:hAnsi="Times New Roman" w:cs="Times New Roman"/>
          <w:b/>
          <w:lang w:eastAsia="de-DE"/>
        </w:rPr>
        <w:t xml:space="preserve">fixed-income </w:t>
      </w:r>
      <w:r w:rsidR="00876D13">
        <w:rPr>
          <w:rFonts w:ascii="Times New Roman" w:eastAsia="Times New Roman" w:hAnsi="Times New Roman" w:cs="Times New Roman"/>
          <w:b/>
          <w:lang w:eastAsia="de-DE"/>
        </w:rPr>
        <w:t xml:space="preserve">and </w:t>
      </w:r>
      <w:r w:rsidR="00BD5A22" w:rsidRPr="00E82113">
        <w:rPr>
          <w:rFonts w:ascii="Times New Roman" w:eastAsia="Times New Roman" w:hAnsi="Times New Roman" w:cs="Times New Roman"/>
          <w:b/>
          <w:lang w:eastAsia="de-DE"/>
        </w:rPr>
        <w:t>alternative classes</w:t>
      </w:r>
      <w:r w:rsidR="006B7826" w:rsidRPr="00E82113">
        <w:rPr>
          <w:rFonts w:ascii="Times New Roman" w:eastAsia="Times New Roman" w:hAnsi="Times New Roman" w:cs="Times New Roman"/>
          <w:b/>
          <w:lang w:eastAsia="de-DE"/>
        </w:rPr>
        <w:t>.</w:t>
      </w:r>
      <w:r w:rsidR="002B3AF0" w:rsidRPr="00E82113">
        <w:rPr>
          <w:rFonts w:ascii="Times New Roman" w:eastAsia="Times New Roman" w:hAnsi="Times New Roman" w:cs="Times New Roman"/>
          <w:b/>
          <w:lang w:eastAsia="de-DE"/>
        </w:rPr>
        <w:t xml:space="preserve"> </w:t>
      </w:r>
      <w:r w:rsidR="00BD5A22" w:rsidRPr="00E82113">
        <w:rPr>
          <w:rFonts w:ascii="Times New Roman" w:eastAsia="Times New Roman" w:hAnsi="Times New Roman" w:cs="Times New Roman"/>
          <w:b/>
          <w:lang w:eastAsia="de-DE"/>
        </w:rPr>
        <w:t xml:space="preserve">Respondents would </w:t>
      </w:r>
      <w:r w:rsidR="006B7826" w:rsidRPr="00E82113">
        <w:rPr>
          <w:rFonts w:ascii="Times New Roman" w:eastAsia="Times New Roman" w:hAnsi="Times New Roman" w:cs="Times New Roman"/>
          <w:b/>
          <w:lang w:eastAsia="de-DE"/>
        </w:rPr>
        <w:t xml:space="preserve">also </w:t>
      </w:r>
      <w:r w:rsidR="00BD5A22" w:rsidRPr="00E82113">
        <w:rPr>
          <w:rFonts w:ascii="Times New Roman" w:eastAsia="Times New Roman" w:hAnsi="Times New Roman" w:cs="Times New Roman"/>
          <w:b/>
          <w:lang w:eastAsia="de-DE"/>
        </w:rPr>
        <w:t>like more customi</w:t>
      </w:r>
      <w:r w:rsidR="00DA1390" w:rsidRPr="00E82113">
        <w:rPr>
          <w:rFonts w:ascii="Times New Roman" w:eastAsia="Times New Roman" w:hAnsi="Times New Roman" w:cs="Times New Roman"/>
          <w:b/>
          <w:lang w:eastAsia="de-DE"/>
        </w:rPr>
        <w:t>s</w:t>
      </w:r>
      <w:r w:rsidR="00BD5A22" w:rsidRPr="00E82113">
        <w:rPr>
          <w:rFonts w:ascii="Times New Roman" w:eastAsia="Times New Roman" w:hAnsi="Times New Roman" w:cs="Times New Roman"/>
          <w:b/>
          <w:lang w:eastAsia="de-DE"/>
        </w:rPr>
        <w:t>ed solutions to be developed</w:t>
      </w:r>
      <w:r w:rsidRPr="00E82113">
        <w:rPr>
          <w:rFonts w:ascii="Times New Roman" w:eastAsia="Times New Roman" w:hAnsi="Times New Roman" w:cs="Times New Roman"/>
          <w:b/>
          <w:lang w:eastAsia="de-DE"/>
        </w:rPr>
        <w:t>.</w:t>
      </w:r>
      <w:r w:rsidRPr="00E82113">
        <w:rPr>
          <w:rFonts w:ascii="Times New Roman" w:eastAsia="Times New Roman" w:hAnsi="Times New Roman" w:cs="Times New Roman"/>
          <w:lang w:eastAsia="de-DE"/>
        </w:rPr>
        <w:t xml:space="preserve"> The development of new products corresponding to these demands may lead to an even wider adoption of smart beta solutions.</w:t>
      </w:r>
    </w:p>
    <w:p w:rsidR="00B16653" w:rsidRPr="00E82113" w:rsidRDefault="00CF7793" w:rsidP="00E04365">
      <w:pPr>
        <w:jc w:val="both"/>
        <w:rPr>
          <w:i/>
          <w:iCs/>
          <w:color w:val="000000"/>
          <w:shd w:val="clear" w:color="auto" w:fill="FFFFFF"/>
        </w:rPr>
      </w:pPr>
      <w:r w:rsidRPr="00E82113">
        <w:rPr>
          <w:sz w:val="22"/>
          <w:szCs w:val="22"/>
          <w:lang w:eastAsia="de-DE"/>
        </w:rPr>
        <w:t>Commenting</w:t>
      </w:r>
      <w:r w:rsidR="00063123" w:rsidRPr="00E82113">
        <w:rPr>
          <w:sz w:val="22"/>
          <w:szCs w:val="22"/>
          <w:lang w:eastAsia="de-DE"/>
        </w:rPr>
        <w:t xml:space="preserve"> on the results of the survey, Fannie Wurtz, Managing Director </w:t>
      </w:r>
      <w:r w:rsidR="0041298C" w:rsidRPr="00E82113">
        <w:rPr>
          <w:sz w:val="22"/>
          <w:szCs w:val="22"/>
          <w:lang w:eastAsia="de-DE"/>
        </w:rPr>
        <w:t xml:space="preserve">at </w:t>
      </w:r>
      <w:r w:rsidR="00063123" w:rsidRPr="00E82113">
        <w:rPr>
          <w:sz w:val="22"/>
          <w:szCs w:val="22"/>
          <w:lang w:eastAsia="de-DE"/>
        </w:rPr>
        <w:t>Amundi ETF, Indexing &amp; Smart Beta</w:t>
      </w:r>
      <w:r w:rsidRPr="00E82113">
        <w:rPr>
          <w:sz w:val="22"/>
          <w:szCs w:val="22"/>
          <w:lang w:eastAsia="de-DE"/>
        </w:rPr>
        <w:t>, said,</w:t>
      </w:r>
      <w:r w:rsidR="0041298C" w:rsidRPr="00E82113">
        <w:rPr>
          <w:sz w:val="22"/>
          <w:szCs w:val="22"/>
          <w:lang w:eastAsia="de-DE"/>
        </w:rPr>
        <w:t xml:space="preserve"> </w:t>
      </w:r>
      <w:r w:rsidR="00B37FB4" w:rsidRPr="00E82113">
        <w:rPr>
          <w:sz w:val="22"/>
          <w:szCs w:val="22"/>
          <w:lang w:eastAsia="de-DE"/>
        </w:rPr>
        <w:t>“The 10</w:t>
      </w:r>
      <w:r w:rsidR="006114FF" w:rsidRPr="006114FF">
        <w:rPr>
          <w:sz w:val="22"/>
          <w:szCs w:val="22"/>
          <w:vertAlign w:val="superscript"/>
          <w:lang w:eastAsia="de-DE"/>
        </w:rPr>
        <w:t>th</w:t>
      </w:r>
      <w:r w:rsidR="00E82113">
        <w:rPr>
          <w:sz w:val="22"/>
          <w:szCs w:val="22"/>
          <w:lang w:eastAsia="de-DE"/>
        </w:rPr>
        <w:t xml:space="preserve"> </w:t>
      </w:r>
      <w:r w:rsidR="00B37FB4" w:rsidRPr="00E82113">
        <w:rPr>
          <w:sz w:val="22"/>
          <w:szCs w:val="22"/>
          <w:lang w:eastAsia="de-DE"/>
        </w:rPr>
        <w:t xml:space="preserve">edition of the EDHEC-Risk Institute survey offers the industry powerful insights on the growing use of ETF and Smart Beta </w:t>
      </w:r>
      <w:bookmarkStart w:id="0" w:name="_GoBack"/>
      <w:bookmarkEnd w:id="0"/>
      <w:r w:rsidR="00B37FB4" w:rsidRPr="00E82113">
        <w:rPr>
          <w:sz w:val="22"/>
          <w:szCs w:val="22"/>
          <w:lang w:eastAsia="de-DE"/>
        </w:rPr>
        <w:t>allocations and their increasing importance in investors’ portfolios. Amundi, as the leading European asset manager, is a recognised player in the ETF, Smart Beta and Factor Investing field, which represents one of the Group’s main growth drivers. We are fully committed to continue building innovative and customised solutions which respond to investors’ needs.”</w:t>
      </w:r>
    </w:p>
    <w:p w:rsidR="00B16653" w:rsidRPr="00E82113" w:rsidRDefault="00B16653">
      <w:pPr>
        <w:rPr>
          <w:i/>
          <w:iCs/>
          <w:color w:val="000000"/>
          <w:shd w:val="clear" w:color="auto" w:fill="FFFFFF"/>
        </w:rPr>
      </w:pPr>
    </w:p>
    <w:p w:rsidR="00614EBF" w:rsidRPr="00E82113" w:rsidRDefault="00BD6046" w:rsidP="00783A46">
      <w:pPr>
        <w:spacing w:line="280" w:lineRule="atLeast"/>
        <w:jc w:val="both"/>
        <w:rPr>
          <w:snapToGrid w:val="0"/>
          <w:sz w:val="22"/>
          <w:szCs w:val="22"/>
        </w:rPr>
      </w:pPr>
      <w:r w:rsidRPr="00E82113">
        <w:rPr>
          <w:snapToGrid w:val="0"/>
          <w:sz w:val="22"/>
          <w:szCs w:val="22"/>
        </w:rPr>
        <w:t>Professor Lionel Martellini, Director of EDHEC-Risk Institute, added, “</w:t>
      </w:r>
      <w:r w:rsidR="00E82113">
        <w:rPr>
          <w:snapToGrid w:val="0"/>
          <w:sz w:val="22"/>
          <w:szCs w:val="22"/>
        </w:rPr>
        <w:t>T</w:t>
      </w:r>
      <w:r w:rsidR="00614EBF" w:rsidRPr="00E82113">
        <w:rPr>
          <w:snapToGrid w:val="0"/>
          <w:sz w:val="22"/>
          <w:szCs w:val="22"/>
        </w:rPr>
        <w:t xml:space="preserve">he survey confirms that transparency and the possibility of making explicit choices on risk exposures are key drivers behind investors’ growing appetite for smart beta. At the same time, the industry </w:t>
      </w:r>
      <w:r w:rsidR="00EA2BE8" w:rsidRPr="00E82113">
        <w:rPr>
          <w:snapToGrid w:val="0"/>
          <w:sz w:val="22"/>
          <w:szCs w:val="22"/>
        </w:rPr>
        <w:t xml:space="preserve">yet </w:t>
      </w:r>
      <w:r w:rsidR="00614EBF" w:rsidRPr="00E82113">
        <w:rPr>
          <w:snapToGrid w:val="0"/>
          <w:sz w:val="22"/>
          <w:szCs w:val="22"/>
        </w:rPr>
        <w:t>has to make progress on offering better insights into risks and more flexibility to allow investors to fully exploit the potential of smart beta strategies.”</w:t>
      </w:r>
    </w:p>
    <w:p w:rsidR="00614EBF" w:rsidRPr="00E82113" w:rsidRDefault="00614EBF" w:rsidP="00783A46">
      <w:pPr>
        <w:spacing w:line="280" w:lineRule="atLeast"/>
        <w:jc w:val="both"/>
        <w:rPr>
          <w:snapToGrid w:val="0"/>
          <w:color w:val="000000"/>
          <w:sz w:val="22"/>
          <w:szCs w:val="22"/>
        </w:rPr>
      </w:pPr>
      <w:r w:rsidRPr="00E82113">
        <w:rPr>
          <w:snapToGrid w:val="0"/>
          <w:color w:val="000000"/>
          <w:sz w:val="22"/>
          <w:szCs w:val="22"/>
        </w:rPr>
        <w:t xml:space="preserve"> </w:t>
      </w:r>
    </w:p>
    <w:p w:rsidR="00F40D60" w:rsidRPr="00E82113" w:rsidRDefault="00F40D60" w:rsidP="00BC6E06">
      <w:pPr>
        <w:spacing w:line="280" w:lineRule="atLeast"/>
        <w:jc w:val="both"/>
        <w:rPr>
          <w:snapToGrid w:val="0"/>
          <w:color w:val="000000"/>
          <w:sz w:val="22"/>
          <w:szCs w:val="22"/>
        </w:rPr>
      </w:pPr>
      <w:r w:rsidRPr="00E82113">
        <w:rPr>
          <w:snapToGrid w:val="0"/>
          <w:color w:val="000000"/>
          <w:sz w:val="22"/>
          <w:szCs w:val="22"/>
        </w:rPr>
        <w:t>A copy of the EDHEC-Risk Institute survey can be found here:</w:t>
      </w:r>
    </w:p>
    <w:p w:rsidR="00BC2CF3" w:rsidRPr="00E82113" w:rsidRDefault="00BC2CF3" w:rsidP="00F40D60">
      <w:pPr>
        <w:autoSpaceDE w:val="0"/>
        <w:autoSpaceDN w:val="0"/>
        <w:adjustRightInd w:val="0"/>
        <w:jc w:val="both"/>
        <w:rPr>
          <w:sz w:val="22"/>
          <w:szCs w:val="22"/>
        </w:rPr>
      </w:pPr>
    </w:p>
    <w:p w:rsidR="00BC2CF3" w:rsidRPr="00E82113" w:rsidRDefault="00C00FD0" w:rsidP="00F40D60">
      <w:pPr>
        <w:autoSpaceDE w:val="0"/>
        <w:autoSpaceDN w:val="0"/>
        <w:adjustRightInd w:val="0"/>
        <w:jc w:val="both"/>
      </w:pPr>
      <w:hyperlink r:id="rId9" w:history="1">
        <w:r w:rsidR="00FB3378" w:rsidRPr="00E82113">
          <w:rPr>
            <w:rStyle w:val="Hyperlink"/>
            <w:sz w:val="22"/>
            <w:szCs w:val="22"/>
          </w:rPr>
          <w:t>EDHEC-Risk Institute Publication 10th EDHEC European ETF and Smart Beta Survey</w:t>
        </w:r>
      </w:hyperlink>
    </w:p>
    <w:p w:rsidR="003E169C" w:rsidRPr="00E82113" w:rsidRDefault="003E169C" w:rsidP="00F40D60">
      <w:pPr>
        <w:autoSpaceDE w:val="0"/>
        <w:autoSpaceDN w:val="0"/>
        <w:adjustRightInd w:val="0"/>
        <w:jc w:val="both"/>
      </w:pPr>
    </w:p>
    <w:p w:rsidR="003E169C" w:rsidRPr="00E82113" w:rsidRDefault="003E169C" w:rsidP="003E169C">
      <w:pPr>
        <w:autoSpaceDE w:val="0"/>
        <w:autoSpaceDN w:val="0"/>
        <w:adjustRightInd w:val="0"/>
        <w:spacing w:line="280" w:lineRule="atLeast"/>
        <w:jc w:val="both"/>
        <w:rPr>
          <w:b/>
          <w:sz w:val="22"/>
          <w:szCs w:val="22"/>
        </w:rPr>
      </w:pPr>
      <w:r w:rsidRPr="00E82113">
        <w:rPr>
          <w:b/>
          <w:sz w:val="22"/>
          <w:szCs w:val="22"/>
        </w:rPr>
        <w:t>This research was supported by Amundi as part of the research chair at EDHEC-Risk Institute on “ETF, Indexing and Smart Beta Investment Strategies.”</w:t>
      </w:r>
    </w:p>
    <w:p w:rsidR="003E169C" w:rsidRPr="00E82113" w:rsidRDefault="003E169C" w:rsidP="00F40D60">
      <w:pPr>
        <w:autoSpaceDE w:val="0"/>
        <w:autoSpaceDN w:val="0"/>
        <w:adjustRightInd w:val="0"/>
        <w:jc w:val="both"/>
        <w:rPr>
          <w:sz w:val="22"/>
          <w:szCs w:val="22"/>
        </w:rPr>
      </w:pPr>
    </w:p>
    <w:p w:rsidR="00FB3378" w:rsidRPr="00E82113" w:rsidRDefault="00FB3378" w:rsidP="00F40D60">
      <w:pPr>
        <w:autoSpaceDE w:val="0"/>
        <w:autoSpaceDN w:val="0"/>
        <w:adjustRightInd w:val="0"/>
        <w:jc w:val="both"/>
        <w:rPr>
          <w:sz w:val="22"/>
          <w:szCs w:val="22"/>
        </w:rPr>
      </w:pPr>
    </w:p>
    <w:p w:rsidR="00BC5F44" w:rsidRPr="00E82113" w:rsidRDefault="00C00FD0" w:rsidP="00BC5F44">
      <w:pPr>
        <w:autoSpaceDE w:val="0"/>
        <w:autoSpaceDN w:val="0"/>
        <w:adjustRightInd w:val="0"/>
        <w:jc w:val="both"/>
        <w:rPr>
          <w:snapToGrid w:val="0"/>
          <w:color w:val="000000"/>
          <w:sz w:val="22"/>
          <w:szCs w:val="22"/>
        </w:rPr>
      </w:pPr>
      <w:r w:rsidRPr="00C00FD0">
        <w:rPr>
          <w:color w:val="000000"/>
          <w:sz w:val="22"/>
          <w:szCs w:val="22"/>
          <w:lang w:eastAsia="zh-CN"/>
        </w:rPr>
        <w:pict>
          <v:group id="Group 30" o:spid="_x0000_s1026" style="position:absolute;left:0;text-align:left;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M8MA&#10;AADaAAAADwAAAGRycy9kb3ducmV2LnhtbESPQWsCMRSE74X+h/AK3mrWVbRsjSKKYA9Cawu9Pjav&#10;u6GblzXJutt/b4SCx2FmvmGW68E24kI+GMcKJuMMBHHptOFKwdfn/vkFRIjIGhvHpOCPAqxXjw9L&#10;LLTr+YMup1iJBOFQoII6xraQMpQ1WQxj1xIn78d5izFJX0ntsU9w28g8y+bSouG0UGNL25rK31Nn&#10;FXSz0i4mxs2/d2Y4nhfT/k37d6VGT8PmFUSkId7D/+2DVpDD7Uq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VM8MAAADaAAAADwAAAAAAAAAAAAAAAACYAgAAZHJzL2Rv&#10;d25yZXYueG1sUEsFBgAAAAAEAAQA9QAAAIgD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fmS+AAAA2gAAAA8AAABkcnMvZG93bnJldi54bWxET8uKwjAU3Q/4D+EK7sZUhRmpRpGCIIgw&#10;PnB9aa5NsLkpTaz1783AwCwP571c964WHbXBelYwGWcgiEuvLVcKLuft5xxEiMgaa8+k4EUB1qvB&#10;xxJz7Z98pO4UK5FCOOSowMTY5FKG0pDDMPYNceJuvnUYE2wrqVt8pnBXy2mWfUmHllODwYYKQ+X9&#10;9HBpxvfBVsXxUfzYvTlcz/Out5ubUqNhv1mAiNTHf/Gfe6cVzOD3SvKDXL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q7fmS+AAAA2gAAAA8AAAAAAAAAAAAAAAAAnwIAAGRy&#10;cy9kb3ducmV2LnhtbFBLBQYAAAAABAAEAPcAAACKAwAAAAA=&#10;">
              <v:imagedata r:id="rId10" o:title="edhec logo press release 3"/>
            </v:shape>
          </v:group>
        </w:pict>
      </w:r>
    </w:p>
    <w:p w:rsidR="003E169C" w:rsidRPr="00E82113" w:rsidRDefault="003E169C" w:rsidP="003E169C">
      <w:pPr>
        <w:tabs>
          <w:tab w:val="left" w:pos="3240"/>
        </w:tabs>
        <w:spacing w:line="280" w:lineRule="atLeast"/>
        <w:ind w:left="1622"/>
        <w:jc w:val="both"/>
        <w:rPr>
          <w:b/>
          <w:bCs/>
          <w:color w:val="800000"/>
          <w:sz w:val="22"/>
          <w:szCs w:val="22"/>
        </w:rPr>
      </w:pPr>
      <w:r w:rsidRPr="00E82113">
        <w:rPr>
          <w:b/>
          <w:bCs/>
          <w:color w:val="800000"/>
          <w:sz w:val="22"/>
          <w:szCs w:val="22"/>
        </w:rPr>
        <w:t>Contact:</w:t>
      </w:r>
    </w:p>
    <w:p w:rsidR="003E169C" w:rsidRPr="00E82113" w:rsidRDefault="003E169C" w:rsidP="003E169C">
      <w:pPr>
        <w:tabs>
          <w:tab w:val="left" w:pos="3240"/>
        </w:tabs>
        <w:spacing w:line="280" w:lineRule="atLeast"/>
        <w:ind w:left="1620"/>
        <w:jc w:val="both"/>
        <w:rPr>
          <w:b/>
          <w:bCs/>
          <w:sz w:val="22"/>
          <w:szCs w:val="22"/>
        </w:rPr>
      </w:pPr>
      <w:r w:rsidRPr="00E82113">
        <w:rPr>
          <w:sz w:val="22"/>
          <w:szCs w:val="22"/>
        </w:rPr>
        <w:t xml:space="preserve">For more information, please contact: </w:t>
      </w:r>
      <w:r w:rsidRPr="00E82113">
        <w:rPr>
          <w:b/>
          <w:bCs/>
          <w:sz w:val="22"/>
          <w:szCs w:val="22"/>
        </w:rPr>
        <w:t>Maud Gauchon</w:t>
      </w:r>
    </w:p>
    <w:p w:rsidR="003E169C" w:rsidRPr="003E13E6" w:rsidRDefault="003E169C" w:rsidP="003E169C">
      <w:pPr>
        <w:tabs>
          <w:tab w:val="left" w:pos="3240"/>
        </w:tabs>
        <w:spacing w:line="280" w:lineRule="atLeast"/>
        <w:ind w:left="1620"/>
        <w:jc w:val="both"/>
        <w:rPr>
          <w:sz w:val="22"/>
          <w:szCs w:val="22"/>
          <w:lang w:val="fr-FR"/>
        </w:rPr>
      </w:pPr>
      <w:r w:rsidRPr="003E13E6">
        <w:rPr>
          <w:sz w:val="22"/>
          <w:szCs w:val="22"/>
          <w:lang w:val="fr-FR"/>
        </w:rPr>
        <w:t xml:space="preserve">Tel.: </w:t>
      </w:r>
      <w:r w:rsidRPr="003E13E6">
        <w:rPr>
          <w:b/>
          <w:bCs/>
          <w:sz w:val="22"/>
          <w:szCs w:val="22"/>
          <w:lang w:val="fr-FR"/>
        </w:rPr>
        <w:t>+33 493 187 887</w:t>
      </w:r>
      <w:r w:rsidRPr="003E13E6">
        <w:rPr>
          <w:sz w:val="22"/>
          <w:szCs w:val="22"/>
          <w:lang w:val="fr-FR"/>
        </w:rPr>
        <w:t xml:space="preserve"> – E-mail: </w:t>
      </w:r>
      <w:hyperlink r:id="rId11" w:history="1">
        <w:r w:rsidRPr="003E13E6">
          <w:rPr>
            <w:rStyle w:val="Hyperlink"/>
            <w:rFonts w:eastAsia="SimSun"/>
            <w:sz w:val="22"/>
            <w:szCs w:val="22"/>
            <w:lang w:val="fr-FR"/>
          </w:rPr>
          <w:t>maud.gauchon@edhec-risk.com</w:t>
        </w:r>
      </w:hyperlink>
    </w:p>
    <w:p w:rsidR="003E169C" w:rsidRPr="00E82113" w:rsidRDefault="003E169C" w:rsidP="003E169C">
      <w:pPr>
        <w:tabs>
          <w:tab w:val="left" w:pos="3240"/>
        </w:tabs>
        <w:spacing w:line="280" w:lineRule="atLeast"/>
        <w:ind w:left="1620"/>
      </w:pPr>
      <w:r w:rsidRPr="00E82113">
        <w:rPr>
          <w:sz w:val="22"/>
          <w:szCs w:val="22"/>
        </w:rPr>
        <w:t xml:space="preserve">To visit our web site: </w:t>
      </w:r>
      <w:hyperlink r:id="rId12" w:history="1">
        <w:r w:rsidRPr="00E82113">
          <w:rPr>
            <w:rStyle w:val="Hyperlink"/>
            <w:rFonts w:eastAsia="SimSun"/>
            <w:sz w:val="22"/>
            <w:szCs w:val="22"/>
          </w:rPr>
          <w:t>www.edhec-risk.com</w:t>
        </w:r>
      </w:hyperlink>
    </w:p>
    <w:p w:rsidR="00FD5C45" w:rsidRPr="00E82113" w:rsidRDefault="00FD5C45" w:rsidP="00FD5C45">
      <w:pPr>
        <w:spacing w:line="360" w:lineRule="auto"/>
        <w:jc w:val="both"/>
        <w:rPr>
          <w:b/>
          <w:bCs/>
          <w:sz w:val="28"/>
          <w:szCs w:val="28"/>
        </w:rPr>
      </w:pPr>
      <w:r w:rsidRPr="00E82113">
        <w:rPr>
          <w:b/>
          <w:bCs/>
          <w:sz w:val="28"/>
          <w:szCs w:val="28"/>
        </w:rPr>
        <w:lastRenderedPageBreak/>
        <w:t>About EDHEC-Risk Institute</w:t>
      </w:r>
    </w:p>
    <w:p w:rsidR="00FD5C45" w:rsidRPr="00E82113" w:rsidRDefault="00FD5C45" w:rsidP="00FD5C45">
      <w:pPr>
        <w:spacing w:line="360" w:lineRule="auto"/>
        <w:jc w:val="both"/>
        <w:rPr>
          <w:b/>
          <w:bCs/>
        </w:rPr>
      </w:pPr>
      <w:r w:rsidRPr="00E82113">
        <w:rPr>
          <w:b/>
          <w:bCs/>
        </w:rPr>
        <w:t>Academic Roots &amp; Practitioner Reach</w:t>
      </w:r>
    </w:p>
    <w:p w:rsidR="00FD5C45" w:rsidRPr="00E82113" w:rsidRDefault="00FD5C45" w:rsidP="00FD5C45">
      <w:pPr>
        <w:spacing w:line="280" w:lineRule="atLeast"/>
        <w:jc w:val="both"/>
        <w:rPr>
          <w:sz w:val="22"/>
          <w:szCs w:val="22"/>
        </w:rPr>
      </w:pPr>
    </w:p>
    <w:p w:rsidR="00FD5C45" w:rsidRPr="00E82113" w:rsidRDefault="00FD5C45" w:rsidP="00FD5C45">
      <w:pPr>
        <w:spacing w:line="280" w:lineRule="atLeast"/>
        <w:jc w:val="both"/>
        <w:rPr>
          <w:sz w:val="22"/>
          <w:szCs w:val="22"/>
        </w:rPr>
      </w:pPr>
      <w:r w:rsidRPr="00E82113">
        <w:rPr>
          <w:sz w:val="22"/>
          <w:szCs w:val="22"/>
        </w:rPr>
        <w:t>Since 2001, EDHEC Business School has been pursuing an ambitious policy in terms of practically relevant academic research. This policy, known as “Research for Business”, aims to make EDHEC an academic institution of reference for the industry in a small number of areas in which the school has reached critical mass in terms of expertise and research results. Among these areas, asset and risk management have occupied privileged positions, leading to the creation in 2001 of EDHEC-Risk Institute, which has developed an ambitious portfolio of research and educational initiatives in the domain of investment solutions for institutional and individual investors.</w:t>
      </w:r>
    </w:p>
    <w:p w:rsidR="00FD5C45" w:rsidRPr="00E82113" w:rsidRDefault="00FD5C45" w:rsidP="00FD5C45">
      <w:pPr>
        <w:spacing w:line="280" w:lineRule="atLeast"/>
        <w:jc w:val="both"/>
        <w:rPr>
          <w:sz w:val="22"/>
          <w:szCs w:val="22"/>
        </w:rPr>
      </w:pPr>
    </w:p>
    <w:p w:rsidR="00FD5C45" w:rsidRPr="00E82113" w:rsidRDefault="00FD5C45" w:rsidP="00FD5C45">
      <w:pPr>
        <w:spacing w:line="280" w:lineRule="atLeast"/>
        <w:jc w:val="both"/>
        <w:rPr>
          <w:sz w:val="22"/>
          <w:szCs w:val="22"/>
        </w:rPr>
      </w:pPr>
      <w:r w:rsidRPr="00E82113">
        <w:rPr>
          <w:sz w:val="22"/>
          <w:szCs w:val="22"/>
        </w:rPr>
        <w:t xml:space="preserve">This institute now boasts a team of close to 50 permanent professors, engineers and support staff, as well as 38 research associates from the financial industry and affiliate professors. EDHEC-Risk Institute is located at campuses in Singapore, which was established at the invitation of the Monetary Authority of Singapore (MAS); the City of London in the United Kingdom; Nice and Paris in France. The philosophy of the institute is to validate its work by publication in prestigious academic journals, but also to make it available to professionals and to participate in industry debate through its position papers, published studies and global conferences. </w:t>
      </w:r>
    </w:p>
    <w:p w:rsidR="00FD5C45" w:rsidRPr="00E82113" w:rsidRDefault="00FD5C45" w:rsidP="00FD5C45">
      <w:pPr>
        <w:spacing w:line="280" w:lineRule="atLeast"/>
        <w:jc w:val="both"/>
        <w:rPr>
          <w:sz w:val="22"/>
          <w:szCs w:val="22"/>
        </w:rPr>
      </w:pPr>
      <w:r w:rsidRPr="00E82113">
        <w:rPr>
          <w:sz w:val="22"/>
          <w:szCs w:val="22"/>
        </w:rPr>
        <w:br/>
        <w:t xml:space="preserve">To ensure the distribution of its research to the industry, EDHEC-Risk also provides professionals with access to its website, </w:t>
      </w:r>
      <w:hyperlink r:id="rId13" w:history="1">
        <w:r w:rsidRPr="00E82113">
          <w:rPr>
            <w:sz w:val="22"/>
            <w:szCs w:val="22"/>
          </w:rPr>
          <w:t>www.edhec-risk.com</w:t>
        </w:r>
      </w:hyperlink>
      <w:r w:rsidRPr="00E82113">
        <w:rPr>
          <w:sz w:val="22"/>
          <w:szCs w:val="22"/>
        </w:rPr>
        <w:t>, which is entirely devoted to international risk and asset management research. The website, which has more than 70,000 regular visitors, is aimed at professionals who wish to benefit from EDHEC-Risk’s analysis and expertise in the area of applied portfolio management research. Its quarterly newsletter is distributed to more than 200,000 readers.</w:t>
      </w:r>
    </w:p>
    <w:p w:rsidR="00FD5C45" w:rsidRPr="00E82113" w:rsidRDefault="00FD5C45" w:rsidP="00FD5C45">
      <w:pPr>
        <w:spacing w:line="280" w:lineRule="atLeast"/>
        <w:jc w:val="both"/>
        <w:rPr>
          <w:sz w:val="22"/>
          <w:szCs w:val="22"/>
        </w:rPr>
      </w:pPr>
    </w:p>
    <w:p w:rsidR="00FD5C45" w:rsidRPr="00E82113" w:rsidRDefault="00FD5C45" w:rsidP="00FD5C45">
      <w:pPr>
        <w:spacing w:line="280" w:lineRule="atLeast"/>
        <w:jc w:val="both"/>
        <w:rPr>
          <w:sz w:val="22"/>
          <w:szCs w:val="22"/>
        </w:rPr>
      </w:pPr>
      <w:r w:rsidRPr="00E82113">
        <w:rPr>
          <w:sz w:val="22"/>
          <w:szCs w:val="22"/>
        </w:rPr>
        <w:t xml:space="preserve">EDHEC-Risk Institute also has highly significant executive education activities for professionals. In partnership with CFA Institute, it has developed advanced seminars based on its research which are available to CFA charterholders and have been taking place since 2008 in New York, Singapore and London. </w:t>
      </w:r>
    </w:p>
    <w:p w:rsidR="00FD5C45" w:rsidRPr="00E82113" w:rsidRDefault="00FD5C45" w:rsidP="00FD5C45">
      <w:pPr>
        <w:spacing w:line="280" w:lineRule="atLeast"/>
        <w:jc w:val="both"/>
        <w:rPr>
          <w:sz w:val="22"/>
          <w:szCs w:val="22"/>
        </w:rPr>
      </w:pPr>
    </w:p>
    <w:p w:rsidR="00FD5C45" w:rsidRPr="00E82113" w:rsidRDefault="00FD5C45" w:rsidP="00FD5C45">
      <w:pPr>
        <w:spacing w:line="280" w:lineRule="atLeast"/>
        <w:jc w:val="both"/>
        <w:rPr>
          <w:sz w:val="22"/>
          <w:szCs w:val="22"/>
        </w:rPr>
      </w:pPr>
      <w:r w:rsidRPr="00E82113">
        <w:rPr>
          <w:sz w:val="22"/>
          <w:szCs w:val="22"/>
        </w:rPr>
        <w:t xml:space="preserve">In 2012, EDHEC-Risk Institute signed two strategic partnership agreements, with the Operations Research and Financial Engineering department of Princeton University to set up a joint research programme in the area of asset-liability management for institutions and individuals, and with Yale School of Management to set up joint certified executive training courses in North America and Europe in the area of risk and investment management. </w:t>
      </w:r>
    </w:p>
    <w:p w:rsidR="00FD5C45" w:rsidRPr="00E82113" w:rsidRDefault="00FD5C45" w:rsidP="00FD5C45">
      <w:pPr>
        <w:spacing w:line="280" w:lineRule="atLeast"/>
        <w:jc w:val="both"/>
        <w:rPr>
          <w:sz w:val="22"/>
          <w:szCs w:val="22"/>
        </w:rPr>
      </w:pPr>
    </w:p>
    <w:p w:rsidR="00FD5C45" w:rsidRPr="00E82113" w:rsidRDefault="00FD5C45" w:rsidP="00FD5C45">
      <w:pPr>
        <w:jc w:val="both"/>
        <w:rPr>
          <w:color w:val="000000" w:themeColor="text1"/>
          <w:sz w:val="22"/>
          <w:szCs w:val="22"/>
        </w:rPr>
      </w:pPr>
      <w:r w:rsidRPr="00E82113">
        <w:rPr>
          <w:color w:val="000000" w:themeColor="text1"/>
          <w:sz w:val="22"/>
          <w:szCs w:val="22"/>
        </w:rPr>
        <w:t>As part of its policy of transferring know-how to the industry, EDHEC-Risk Institute has set up ERI Scientific Beta. ERI Scientific Beta is an original initiative which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of both the methods and the associated risks.</w:t>
      </w:r>
    </w:p>
    <w:p w:rsidR="00426901" w:rsidRPr="00E82113" w:rsidRDefault="00426901" w:rsidP="00FD5C45">
      <w:pPr>
        <w:jc w:val="both"/>
        <w:rPr>
          <w:color w:val="000000" w:themeColor="text1"/>
          <w:sz w:val="22"/>
          <w:szCs w:val="22"/>
        </w:rPr>
      </w:pPr>
    </w:p>
    <w:p w:rsidR="00FD5C45" w:rsidRPr="00E82113" w:rsidRDefault="00FD5C45" w:rsidP="00FD5C45">
      <w:pPr>
        <w:autoSpaceDE w:val="0"/>
        <w:autoSpaceDN w:val="0"/>
        <w:adjustRightInd w:val="0"/>
        <w:rPr>
          <w:b/>
          <w:bCs/>
          <w:sz w:val="16"/>
          <w:szCs w:val="16"/>
          <w:lang w:eastAsia="zh-CN"/>
        </w:rPr>
      </w:pPr>
      <w:r w:rsidRPr="00E82113">
        <w:rPr>
          <w:b/>
          <w:bCs/>
          <w:sz w:val="16"/>
          <w:szCs w:val="16"/>
          <w:lang w:eastAsia="zh-CN"/>
        </w:rPr>
        <w:t>EDHEC-Risk Institute</w:t>
      </w:r>
      <w:r w:rsidRPr="00E82113">
        <w:rPr>
          <w:b/>
          <w:bCs/>
          <w:sz w:val="16"/>
          <w:szCs w:val="16"/>
          <w:lang w:eastAsia="zh-CN"/>
        </w:rPr>
        <w:tab/>
      </w:r>
      <w:r w:rsidRPr="00E82113">
        <w:rPr>
          <w:b/>
          <w:bCs/>
          <w:sz w:val="16"/>
          <w:szCs w:val="16"/>
          <w:lang w:eastAsia="zh-CN"/>
        </w:rPr>
        <w:tab/>
        <w:t>EDHEC Risk Institute—Europe</w:t>
      </w:r>
      <w:r w:rsidRPr="00E82113">
        <w:rPr>
          <w:b/>
          <w:bCs/>
          <w:sz w:val="16"/>
          <w:szCs w:val="16"/>
          <w:lang w:eastAsia="zh-CN"/>
        </w:rPr>
        <w:tab/>
        <w:t>EDHEC Risk Institute—France</w:t>
      </w:r>
    </w:p>
    <w:p w:rsidR="00FD5C45" w:rsidRPr="003E13E6" w:rsidRDefault="00FD5C45" w:rsidP="00FD5C45">
      <w:pPr>
        <w:autoSpaceDE w:val="0"/>
        <w:autoSpaceDN w:val="0"/>
        <w:adjustRightInd w:val="0"/>
        <w:rPr>
          <w:bCs/>
          <w:sz w:val="16"/>
          <w:szCs w:val="16"/>
          <w:lang w:val="fr-FR" w:eastAsia="zh-CN"/>
        </w:rPr>
      </w:pPr>
      <w:r w:rsidRPr="003E13E6">
        <w:rPr>
          <w:sz w:val="16"/>
          <w:szCs w:val="16"/>
          <w:lang w:val="fr-FR" w:eastAsia="zh-CN"/>
        </w:rPr>
        <w:t>393 promenade des Anglais</w:t>
      </w:r>
      <w:r w:rsidRPr="003E13E6">
        <w:rPr>
          <w:sz w:val="16"/>
          <w:szCs w:val="16"/>
          <w:lang w:val="fr-FR" w:eastAsia="zh-CN"/>
        </w:rPr>
        <w:tab/>
      </w:r>
      <w:r w:rsidRPr="003E13E6">
        <w:rPr>
          <w:sz w:val="16"/>
          <w:szCs w:val="16"/>
          <w:lang w:val="fr-FR" w:eastAsia="zh-CN"/>
        </w:rPr>
        <w:tab/>
        <w:t xml:space="preserve">10 </w:t>
      </w:r>
      <w:proofErr w:type="spellStart"/>
      <w:r w:rsidRPr="003E13E6">
        <w:rPr>
          <w:sz w:val="16"/>
          <w:szCs w:val="16"/>
          <w:lang w:val="fr-FR" w:eastAsia="zh-CN"/>
        </w:rPr>
        <w:t>Fleet</w:t>
      </w:r>
      <w:proofErr w:type="spellEnd"/>
      <w:r w:rsidRPr="003E13E6">
        <w:rPr>
          <w:sz w:val="16"/>
          <w:szCs w:val="16"/>
          <w:lang w:val="fr-FR" w:eastAsia="zh-CN"/>
        </w:rPr>
        <w:t xml:space="preserve"> Place, </w:t>
      </w:r>
      <w:proofErr w:type="spellStart"/>
      <w:r w:rsidRPr="003E13E6">
        <w:rPr>
          <w:sz w:val="16"/>
          <w:szCs w:val="16"/>
          <w:lang w:val="fr-FR" w:eastAsia="zh-CN"/>
        </w:rPr>
        <w:t>Ludgate</w:t>
      </w:r>
      <w:proofErr w:type="spellEnd"/>
      <w:r w:rsidRPr="003E13E6">
        <w:rPr>
          <w:sz w:val="16"/>
          <w:szCs w:val="16"/>
          <w:lang w:val="fr-FR" w:eastAsia="zh-CN"/>
        </w:rPr>
        <w:tab/>
      </w:r>
      <w:r w:rsidRPr="003E13E6">
        <w:rPr>
          <w:sz w:val="16"/>
          <w:szCs w:val="16"/>
          <w:lang w:val="fr-FR" w:eastAsia="zh-CN"/>
        </w:rPr>
        <w:tab/>
      </w:r>
      <w:r w:rsidRPr="003E13E6">
        <w:rPr>
          <w:bCs/>
          <w:sz w:val="16"/>
          <w:szCs w:val="16"/>
          <w:lang w:val="fr-FR" w:eastAsia="zh-CN"/>
        </w:rPr>
        <w:t>16-18 rue du 4 septembre</w:t>
      </w:r>
    </w:p>
    <w:p w:rsidR="00FD5C45" w:rsidRPr="00E82113" w:rsidRDefault="00FD5C45" w:rsidP="00FD5C45">
      <w:pPr>
        <w:autoSpaceDE w:val="0"/>
        <w:autoSpaceDN w:val="0"/>
        <w:adjustRightInd w:val="0"/>
        <w:rPr>
          <w:bCs/>
          <w:sz w:val="16"/>
          <w:szCs w:val="16"/>
          <w:lang w:eastAsia="zh-CN"/>
        </w:rPr>
      </w:pPr>
      <w:r w:rsidRPr="00E82113">
        <w:rPr>
          <w:sz w:val="16"/>
          <w:szCs w:val="16"/>
          <w:lang w:eastAsia="zh-CN"/>
        </w:rPr>
        <w:t>BP 3116 - 06202 Nice Cedex 3</w:t>
      </w:r>
      <w:r w:rsidRPr="00E82113">
        <w:rPr>
          <w:sz w:val="16"/>
          <w:szCs w:val="16"/>
          <w:lang w:eastAsia="zh-CN"/>
        </w:rPr>
        <w:tab/>
      </w:r>
      <w:r w:rsidRPr="00E82113">
        <w:rPr>
          <w:sz w:val="16"/>
          <w:szCs w:val="16"/>
          <w:lang w:eastAsia="zh-CN"/>
        </w:rPr>
        <w:tab/>
        <w:t>London EC4M 7RB</w:t>
      </w:r>
      <w:r w:rsidRPr="00E82113">
        <w:rPr>
          <w:sz w:val="16"/>
          <w:szCs w:val="16"/>
          <w:lang w:eastAsia="zh-CN"/>
        </w:rPr>
        <w:tab/>
      </w:r>
      <w:r w:rsidRPr="00E82113">
        <w:rPr>
          <w:sz w:val="16"/>
          <w:szCs w:val="16"/>
          <w:lang w:eastAsia="zh-CN"/>
        </w:rPr>
        <w:tab/>
      </w:r>
      <w:r w:rsidRPr="00E82113">
        <w:rPr>
          <w:sz w:val="16"/>
          <w:szCs w:val="16"/>
          <w:lang w:eastAsia="zh-CN"/>
        </w:rPr>
        <w:tab/>
      </w:r>
      <w:r w:rsidRPr="00E82113">
        <w:rPr>
          <w:bCs/>
          <w:sz w:val="16"/>
          <w:szCs w:val="16"/>
          <w:lang w:eastAsia="zh-CN"/>
        </w:rPr>
        <w:t>75002 Paris</w:t>
      </w:r>
    </w:p>
    <w:p w:rsidR="00FD5C45" w:rsidRPr="00E82113" w:rsidRDefault="00FD5C45" w:rsidP="00FD5C45">
      <w:pPr>
        <w:autoSpaceDE w:val="0"/>
        <w:autoSpaceDN w:val="0"/>
        <w:adjustRightInd w:val="0"/>
        <w:rPr>
          <w:bCs/>
          <w:sz w:val="16"/>
          <w:szCs w:val="16"/>
          <w:lang w:eastAsia="zh-CN"/>
        </w:rPr>
      </w:pPr>
      <w:r w:rsidRPr="00E82113">
        <w:rPr>
          <w:sz w:val="16"/>
          <w:szCs w:val="16"/>
          <w:lang w:eastAsia="zh-CN"/>
        </w:rPr>
        <w:t>France</w:t>
      </w:r>
      <w:r w:rsidRPr="00E82113">
        <w:rPr>
          <w:sz w:val="16"/>
          <w:szCs w:val="16"/>
          <w:lang w:eastAsia="zh-CN"/>
        </w:rPr>
        <w:tab/>
      </w:r>
      <w:r w:rsidRPr="00E82113">
        <w:rPr>
          <w:sz w:val="16"/>
          <w:szCs w:val="16"/>
          <w:lang w:eastAsia="zh-CN"/>
        </w:rPr>
        <w:tab/>
      </w:r>
      <w:r w:rsidRPr="00E82113">
        <w:rPr>
          <w:sz w:val="16"/>
          <w:szCs w:val="16"/>
          <w:lang w:eastAsia="zh-CN"/>
        </w:rPr>
        <w:tab/>
      </w:r>
      <w:r w:rsidRPr="00E82113">
        <w:rPr>
          <w:sz w:val="16"/>
          <w:szCs w:val="16"/>
          <w:lang w:eastAsia="zh-CN"/>
        </w:rPr>
        <w:tab/>
        <w:t>United Kingdom</w:t>
      </w:r>
      <w:r w:rsidRPr="00E82113">
        <w:rPr>
          <w:sz w:val="16"/>
          <w:szCs w:val="16"/>
          <w:lang w:eastAsia="zh-CN"/>
        </w:rPr>
        <w:tab/>
      </w:r>
      <w:r w:rsidRPr="00E82113">
        <w:rPr>
          <w:sz w:val="16"/>
          <w:szCs w:val="16"/>
          <w:lang w:eastAsia="zh-CN"/>
        </w:rPr>
        <w:tab/>
      </w:r>
      <w:r w:rsidRPr="00E82113">
        <w:rPr>
          <w:sz w:val="16"/>
          <w:szCs w:val="16"/>
          <w:lang w:eastAsia="zh-CN"/>
        </w:rPr>
        <w:tab/>
      </w:r>
      <w:r w:rsidRPr="00E82113">
        <w:rPr>
          <w:bCs/>
          <w:sz w:val="16"/>
          <w:szCs w:val="16"/>
          <w:lang w:eastAsia="zh-CN"/>
        </w:rPr>
        <w:t>France</w:t>
      </w:r>
    </w:p>
    <w:p w:rsidR="00FD5C45" w:rsidRPr="00E82113" w:rsidRDefault="00FD5C45" w:rsidP="00FD5C45">
      <w:pPr>
        <w:autoSpaceDE w:val="0"/>
        <w:autoSpaceDN w:val="0"/>
        <w:adjustRightInd w:val="0"/>
        <w:rPr>
          <w:bCs/>
          <w:sz w:val="16"/>
          <w:szCs w:val="16"/>
          <w:lang w:eastAsia="zh-CN"/>
        </w:rPr>
      </w:pPr>
      <w:r w:rsidRPr="00E82113">
        <w:rPr>
          <w:sz w:val="16"/>
          <w:szCs w:val="16"/>
          <w:lang w:eastAsia="zh-CN"/>
        </w:rPr>
        <w:t>Tel: +33 493 187 824</w:t>
      </w:r>
      <w:r w:rsidRPr="00E82113">
        <w:rPr>
          <w:sz w:val="16"/>
          <w:szCs w:val="16"/>
          <w:lang w:eastAsia="zh-CN"/>
        </w:rPr>
        <w:tab/>
      </w:r>
      <w:r w:rsidRPr="00E82113">
        <w:rPr>
          <w:sz w:val="16"/>
          <w:szCs w:val="16"/>
          <w:lang w:eastAsia="zh-CN"/>
        </w:rPr>
        <w:tab/>
      </w:r>
      <w:r w:rsidRPr="00E82113">
        <w:rPr>
          <w:sz w:val="16"/>
          <w:szCs w:val="16"/>
          <w:lang w:eastAsia="zh-CN"/>
        </w:rPr>
        <w:tab/>
        <w:t>Tel: +44 207 871 6740</w:t>
      </w:r>
      <w:r w:rsidRPr="00E82113">
        <w:rPr>
          <w:sz w:val="16"/>
          <w:szCs w:val="16"/>
          <w:lang w:eastAsia="zh-CN"/>
        </w:rPr>
        <w:tab/>
      </w:r>
      <w:r w:rsidRPr="00E82113">
        <w:rPr>
          <w:sz w:val="16"/>
          <w:szCs w:val="16"/>
          <w:lang w:eastAsia="zh-CN"/>
        </w:rPr>
        <w:tab/>
      </w:r>
      <w:r w:rsidRPr="00E82113">
        <w:rPr>
          <w:bCs/>
          <w:sz w:val="16"/>
          <w:szCs w:val="16"/>
          <w:lang w:eastAsia="zh-CN"/>
        </w:rPr>
        <w:t>Tel: +33 153 327 630</w:t>
      </w:r>
    </w:p>
    <w:p w:rsidR="00FD5C45" w:rsidRPr="00E82113" w:rsidRDefault="00FD5C45" w:rsidP="00FD5C45">
      <w:pPr>
        <w:autoSpaceDE w:val="0"/>
        <w:autoSpaceDN w:val="0"/>
        <w:adjustRightInd w:val="0"/>
        <w:rPr>
          <w:snapToGrid w:val="0"/>
        </w:rPr>
      </w:pPr>
      <w:r w:rsidRPr="00E82113">
        <w:rPr>
          <w:sz w:val="16"/>
          <w:szCs w:val="16"/>
          <w:lang w:eastAsia="zh-CN"/>
        </w:rPr>
        <w:tab/>
      </w:r>
    </w:p>
    <w:p w:rsidR="00FD5C45" w:rsidRPr="00E82113" w:rsidRDefault="00C00FD0" w:rsidP="00FD5C45">
      <w:pPr>
        <w:autoSpaceDE w:val="0"/>
        <w:autoSpaceDN w:val="0"/>
        <w:adjustRightInd w:val="0"/>
      </w:pPr>
      <w:hyperlink r:id="rId14" w:history="1">
        <w:r w:rsidR="00FD5C45" w:rsidRPr="00E82113">
          <w:rPr>
            <w:rStyle w:val="Hyperlink"/>
            <w:rFonts w:eastAsia="SimSun"/>
            <w:sz w:val="22"/>
            <w:szCs w:val="22"/>
            <w:lang w:eastAsia="zh-CN"/>
          </w:rPr>
          <w:t>www.edhec-risk.com</w:t>
        </w:r>
      </w:hyperlink>
    </w:p>
    <w:p w:rsidR="00087BE7" w:rsidRPr="00E82113" w:rsidRDefault="00087BE7" w:rsidP="00783A46">
      <w:pPr>
        <w:autoSpaceDE w:val="0"/>
        <w:autoSpaceDN w:val="0"/>
        <w:adjustRightInd w:val="0"/>
        <w:jc w:val="both"/>
        <w:rPr>
          <w:snapToGrid w:val="0"/>
          <w:color w:val="000000"/>
          <w:sz w:val="20"/>
          <w:szCs w:val="20"/>
        </w:rPr>
      </w:pPr>
    </w:p>
    <w:p w:rsidR="003065EB" w:rsidRPr="00E82113" w:rsidRDefault="003065EB" w:rsidP="00DA5DB3">
      <w:pPr>
        <w:rPr>
          <w:b/>
          <w:color w:val="002060"/>
          <w:sz w:val="28"/>
          <w:szCs w:val="28"/>
        </w:rPr>
      </w:pPr>
    </w:p>
    <w:p w:rsidR="003065EB" w:rsidRPr="00E82113" w:rsidRDefault="003065EB" w:rsidP="00DA5DB3">
      <w:pPr>
        <w:rPr>
          <w:b/>
          <w:color w:val="002060"/>
          <w:sz w:val="28"/>
          <w:szCs w:val="28"/>
        </w:rPr>
      </w:pPr>
    </w:p>
    <w:p w:rsidR="00DA5DB3" w:rsidRPr="00E82113" w:rsidRDefault="00DA5DB3" w:rsidP="00DA5DB3">
      <w:pPr>
        <w:rPr>
          <w:b/>
          <w:color w:val="002060"/>
          <w:sz w:val="28"/>
          <w:szCs w:val="28"/>
        </w:rPr>
      </w:pPr>
      <w:r w:rsidRPr="00E82113">
        <w:rPr>
          <w:b/>
          <w:color w:val="002060"/>
          <w:sz w:val="28"/>
          <w:szCs w:val="28"/>
        </w:rPr>
        <w:lastRenderedPageBreak/>
        <w:t>About Amundi</w:t>
      </w:r>
    </w:p>
    <w:p w:rsidR="00DA5DB3" w:rsidRPr="00E82113" w:rsidRDefault="00DA5DB3" w:rsidP="00DA5DB3">
      <w:pPr>
        <w:rPr>
          <w:b/>
          <w:color w:val="002060"/>
          <w:sz w:val="28"/>
          <w:szCs w:val="28"/>
        </w:rPr>
      </w:pPr>
    </w:p>
    <w:p w:rsidR="00DA5DB3" w:rsidRPr="00E82113" w:rsidRDefault="00DA5DB3" w:rsidP="00DA5DB3">
      <w:pPr>
        <w:jc w:val="both"/>
        <w:rPr>
          <w:snapToGrid w:val="0"/>
          <w:sz w:val="22"/>
          <w:szCs w:val="22"/>
        </w:rPr>
      </w:pPr>
      <w:r w:rsidRPr="00E82113">
        <w:rPr>
          <w:snapToGrid w:val="0"/>
          <w:sz w:val="22"/>
          <w:szCs w:val="22"/>
        </w:rPr>
        <w:t>Publicly traded since November 2015, Amundi is the largest European Asset Manager in terms of AUM(*), with over €1.1 trillion worldwide. Headquartered in Paris, France, Amundi has seven investment hubs located in the world’s key financial centres, and offers a combination of research depth and market experience that has earned</w:t>
      </w:r>
      <w:r w:rsidR="00E82113">
        <w:rPr>
          <w:snapToGrid w:val="0"/>
          <w:sz w:val="22"/>
          <w:szCs w:val="22"/>
        </w:rPr>
        <w:t xml:space="preserve"> </w:t>
      </w:r>
      <w:r w:rsidRPr="00E82113">
        <w:rPr>
          <w:snapToGrid w:val="0"/>
          <w:sz w:val="22"/>
          <w:szCs w:val="22"/>
        </w:rPr>
        <w:t xml:space="preserve">the confidence of its clients. </w:t>
      </w:r>
    </w:p>
    <w:p w:rsidR="00DA5DB3" w:rsidRPr="00E82113" w:rsidRDefault="00DA5DB3" w:rsidP="00DA5DB3">
      <w:pPr>
        <w:jc w:val="both"/>
        <w:rPr>
          <w:snapToGrid w:val="0"/>
          <w:sz w:val="22"/>
          <w:szCs w:val="22"/>
        </w:rPr>
      </w:pPr>
      <w:r w:rsidRPr="00E82113">
        <w:rPr>
          <w:snapToGrid w:val="0"/>
          <w:sz w:val="22"/>
          <w:szCs w:val="22"/>
        </w:rPr>
        <w:t xml:space="preserve">Amundi is the trusted partner of 100 million retail clients, 1,000 institutional clients and 1,000 distributors in more than 30 countries, and designs innovative, high-performing products and services for these types of clients tailored specifically to their needs and risk profile. </w:t>
      </w:r>
    </w:p>
    <w:p w:rsidR="00DA5DB3" w:rsidRPr="00E82113" w:rsidRDefault="00DA5DB3" w:rsidP="00DA5DB3">
      <w:pPr>
        <w:jc w:val="both"/>
        <w:rPr>
          <w:snapToGrid w:val="0"/>
          <w:sz w:val="22"/>
          <w:szCs w:val="22"/>
        </w:rPr>
      </w:pPr>
      <w:r w:rsidRPr="00E82113">
        <w:rPr>
          <w:snapToGrid w:val="0"/>
          <w:sz w:val="22"/>
          <w:szCs w:val="22"/>
        </w:rPr>
        <w:t xml:space="preserve">Go to </w:t>
      </w:r>
      <w:hyperlink r:id="rId15" w:history="1">
        <w:r w:rsidRPr="00E82113">
          <w:rPr>
            <w:snapToGrid w:val="0"/>
            <w:sz w:val="22"/>
            <w:szCs w:val="22"/>
          </w:rPr>
          <w:t>amundi.com</w:t>
        </w:r>
      </w:hyperlink>
      <w:r w:rsidRPr="00E82113">
        <w:rPr>
          <w:snapToGrid w:val="0"/>
          <w:sz w:val="22"/>
          <w:szCs w:val="22"/>
        </w:rPr>
        <w:t xml:space="preserve"> for more information or to find an Amundi office near you.</w:t>
      </w:r>
    </w:p>
    <w:p w:rsidR="00DA5DB3" w:rsidRPr="00E82113" w:rsidRDefault="00DA5DB3" w:rsidP="00DA5DB3"/>
    <w:p w:rsidR="00DA5DB3" w:rsidRPr="00E82113" w:rsidRDefault="00DA5DB3" w:rsidP="00DA5DB3">
      <w:pPr>
        <w:shd w:val="clear" w:color="auto" w:fill="FFFFFF"/>
        <w:jc w:val="right"/>
        <w:rPr>
          <w:sz w:val="18"/>
          <w:szCs w:val="18"/>
        </w:rPr>
      </w:pPr>
      <w:r w:rsidRPr="00E82113">
        <w:rPr>
          <w:sz w:val="18"/>
          <w:szCs w:val="18"/>
        </w:rPr>
        <w:t>Follow us on</w:t>
      </w:r>
      <w:r w:rsidRPr="00E82113">
        <w:rPr>
          <w:sz w:val="18"/>
          <w:szCs w:val="18"/>
        </w:rPr>
        <w:tab/>
        <w:t xml:space="preserve"> </w:t>
      </w:r>
      <w:r w:rsidRPr="00E82113">
        <w:rPr>
          <w:noProof/>
          <w:sz w:val="18"/>
          <w:szCs w:val="18"/>
          <w:lang w:val="fr-FR"/>
        </w:rPr>
        <w:drawing>
          <wp:inline distT="0" distB="0" distL="0" distR="0">
            <wp:extent cx="360000" cy="360000"/>
            <wp:effectExtent l="0" t="0" r="2540" b="2540"/>
            <wp:docPr id="4" name="Image 4" descr="C:\Users\boniface\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iface\Desktop\linkedin.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r w:rsidRPr="00E82113">
        <w:rPr>
          <w:sz w:val="18"/>
          <w:szCs w:val="18"/>
        </w:rPr>
        <w:tab/>
      </w:r>
      <w:r w:rsidRPr="00E82113">
        <w:rPr>
          <w:noProof/>
          <w:sz w:val="18"/>
          <w:szCs w:val="18"/>
          <w:lang w:val="fr-FR"/>
        </w:rPr>
        <w:drawing>
          <wp:inline distT="0" distB="0" distL="0" distR="0">
            <wp:extent cx="360000" cy="360000"/>
            <wp:effectExtent l="0" t="0" r="2540" b="2540"/>
            <wp:docPr id="5" name="Image 5" descr="C:\Users\boniface\Desktop\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iface\Desktop\twitter.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r w:rsidRPr="00E82113">
        <w:rPr>
          <w:sz w:val="18"/>
          <w:szCs w:val="18"/>
        </w:rPr>
        <w:tab/>
      </w:r>
      <w:r w:rsidRPr="00E82113">
        <w:rPr>
          <w:noProof/>
          <w:sz w:val="18"/>
          <w:szCs w:val="18"/>
          <w:lang w:val="fr-FR"/>
        </w:rPr>
        <w:drawing>
          <wp:inline distT="0" distB="0" distL="0" distR="0">
            <wp:extent cx="360000" cy="360000"/>
            <wp:effectExtent l="0" t="0" r="2540" b="2540"/>
            <wp:docPr id="6" name="Image 6" descr="C:\Users\boniface\Desktop\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iface\Desktop\facebook.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p w:rsidR="00DA5DB3" w:rsidRPr="00E82113" w:rsidRDefault="00DA5DB3" w:rsidP="00DA5DB3"/>
    <w:p w:rsidR="00DA5DB3" w:rsidRPr="00E82113" w:rsidRDefault="00DA5DB3" w:rsidP="00DA5DB3"/>
    <w:p w:rsidR="00DA5DB3" w:rsidRPr="00E82113" w:rsidRDefault="00DA5DB3" w:rsidP="00DA5DB3">
      <w:pPr>
        <w:jc w:val="both"/>
        <w:rPr>
          <w:i/>
          <w:sz w:val="18"/>
          <w:szCs w:val="16"/>
        </w:rPr>
      </w:pPr>
      <w:r w:rsidRPr="00E82113">
        <w:rPr>
          <w:i/>
          <w:sz w:val="18"/>
          <w:szCs w:val="16"/>
        </w:rPr>
        <w:t>Amundi figures as of 31 March 2017. (*) No.1 European asset manager based on global assets under management (AUM) and the main headquarters being based in Continental Europe - Source IPE “Top 400 asset managers” published in June 2016 and based on AUM as at December 2015.</w:t>
      </w:r>
    </w:p>
    <w:p w:rsidR="00DA5DB3" w:rsidRPr="00E82113" w:rsidRDefault="00DA5DB3" w:rsidP="00DA5DB3"/>
    <w:p w:rsidR="00DA5DB3" w:rsidRPr="00E82113" w:rsidRDefault="00DA5DB3" w:rsidP="00DA5DB3">
      <w:pPr>
        <w:jc w:val="both"/>
        <w:rPr>
          <w:color w:val="1F497D"/>
          <w:sz w:val="22"/>
          <w:szCs w:val="22"/>
        </w:rPr>
      </w:pPr>
    </w:p>
    <w:p w:rsidR="00DA5DB3" w:rsidRPr="00E82113" w:rsidRDefault="00DA5DB3" w:rsidP="00DA5DB3">
      <w:pPr>
        <w:rPr>
          <w:b/>
          <w:color w:val="002060"/>
          <w:sz w:val="28"/>
          <w:szCs w:val="28"/>
        </w:rPr>
      </w:pPr>
      <w:r w:rsidRPr="00E82113">
        <w:rPr>
          <w:b/>
          <w:color w:val="002060"/>
          <w:sz w:val="28"/>
          <w:szCs w:val="28"/>
        </w:rPr>
        <w:t>About Amundi ETF, Indexing &amp; Smart Beta</w:t>
      </w:r>
    </w:p>
    <w:p w:rsidR="00DA5DB3" w:rsidRPr="00E82113" w:rsidRDefault="00DA5DB3" w:rsidP="00DA5DB3">
      <w:pPr>
        <w:rPr>
          <w:sz w:val="20"/>
          <w:szCs w:val="20"/>
        </w:rPr>
      </w:pPr>
      <w:r w:rsidRPr="00E82113">
        <w:rPr>
          <w:color w:val="002060"/>
          <w:sz w:val="20"/>
          <w:szCs w:val="20"/>
        </w:rPr>
        <w:t> </w:t>
      </w:r>
    </w:p>
    <w:p w:rsidR="00DA5DB3" w:rsidRPr="00E82113" w:rsidRDefault="00DA5DB3" w:rsidP="00DA5DB3">
      <w:pPr>
        <w:jc w:val="both"/>
        <w:rPr>
          <w:snapToGrid w:val="0"/>
          <w:sz w:val="22"/>
          <w:szCs w:val="22"/>
        </w:rPr>
      </w:pPr>
      <w:r w:rsidRPr="00E82113">
        <w:rPr>
          <w:snapToGrid w:val="0"/>
          <w:sz w:val="22"/>
          <w:szCs w:val="22"/>
        </w:rPr>
        <w:t>The Amundi ETF, Indexing and Smart Beta business line is one of Amundi Group’s strategic business areas and totalizes more than 70 billion€ AuM</w:t>
      </w:r>
      <w:r w:rsidRPr="00E82113">
        <w:rPr>
          <w:snapToGrid w:val="0"/>
          <w:sz w:val="22"/>
          <w:szCs w:val="22"/>
          <w:vertAlign w:val="superscript"/>
        </w:rPr>
        <w:t>1</w:t>
      </w:r>
      <w:r w:rsidRPr="00E82113">
        <w:rPr>
          <w:snapToGrid w:val="0"/>
          <w:sz w:val="22"/>
          <w:szCs w:val="22"/>
        </w:rPr>
        <w:t>.</w:t>
      </w:r>
    </w:p>
    <w:p w:rsidR="00DA5DB3" w:rsidRPr="00E82113" w:rsidRDefault="00DA5DB3" w:rsidP="00DA5DB3">
      <w:pPr>
        <w:jc w:val="both"/>
        <w:rPr>
          <w:snapToGrid w:val="0"/>
          <w:sz w:val="22"/>
          <w:szCs w:val="22"/>
        </w:rPr>
      </w:pPr>
    </w:p>
    <w:p w:rsidR="00DA5DB3" w:rsidRPr="00E82113" w:rsidRDefault="00DA5DB3" w:rsidP="00DA5DB3">
      <w:pPr>
        <w:jc w:val="both"/>
        <w:rPr>
          <w:snapToGrid w:val="0"/>
          <w:sz w:val="22"/>
          <w:szCs w:val="22"/>
        </w:rPr>
      </w:pPr>
      <w:r w:rsidRPr="00E82113">
        <w:rPr>
          <w:snapToGrid w:val="0"/>
          <w:sz w:val="22"/>
          <w:szCs w:val="22"/>
        </w:rPr>
        <w:t>Built on strong commitments on cost efficiency, innovation and transparency, the Amundi ETF platform ranks among the top-five European ETF providers with more than 100 ETFs and more than 500 listings across Europe</w:t>
      </w:r>
      <w:r w:rsidRPr="00E82113">
        <w:rPr>
          <w:snapToGrid w:val="0"/>
          <w:sz w:val="22"/>
          <w:szCs w:val="22"/>
          <w:vertAlign w:val="superscript"/>
        </w:rPr>
        <w:t>2</w:t>
      </w:r>
      <w:r w:rsidRPr="00E82113">
        <w:rPr>
          <w:snapToGrid w:val="0"/>
          <w:sz w:val="22"/>
          <w:szCs w:val="22"/>
        </w:rPr>
        <w:t xml:space="preserve">. </w:t>
      </w:r>
    </w:p>
    <w:p w:rsidR="00DA5DB3" w:rsidRPr="00E82113" w:rsidRDefault="00DA5DB3" w:rsidP="00DA5DB3">
      <w:pPr>
        <w:jc w:val="both"/>
        <w:rPr>
          <w:snapToGrid w:val="0"/>
          <w:sz w:val="22"/>
          <w:szCs w:val="22"/>
        </w:rPr>
      </w:pPr>
    </w:p>
    <w:p w:rsidR="00DA5DB3" w:rsidRPr="00E82113" w:rsidRDefault="00DA5DB3" w:rsidP="00DA5DB3">
      <w:pPr>
        <w:jc w:val="both"/>
        <w:rPr>
          <w:snapToGrid w:val="0"/>
          <w:sz w:val="22"/>
          <w:szCs w:val="22"/>
        </w:rPr>
      </w:pPr>
      <w:r w:rsidRPr="00E82113">
        <w:rPr>
          <w:snapToGrid w:val="0"/>
          <w:sz w:val="22"/>
          <w:szCs w:val="22"/>
        </w:rPr>
        <w:t>On Indexing and Smart Beta, innovation and custom</w:t>
      </w:r>
      <w:r w:rsidR="00E82113">
        <w:rPr>
          <w:snapToGrid w:val="0"/>
          <w:sz w:val="22"/>
          <w:szCs w:val="22"/>
        </w:rPr>
        <w:t>isation</w:t>
      </w:r>
      <w:r w:rsidRPr="00E82113">
        <w:rPr>
          <w:snapToGrid w:val="0"/>
          <w:sz w:val="22"/>
          <w:szCs w:val="22"/>
        </w:rPr>
        <w:t xml:space="preserve"> are at the core of the client-oriented approach. The objective is to provide investors with robust, flexible and highly cost efficient solutions, leveraging on Amundi pricing power and extensive resources, including first class research capabilities in SRI and Factor investing.</w:t>
      </w:r>
    </w:p>
    <w:p w:rsidR="00DA5DB3" w:rsidRPr="00E82113" w:rsidRDefault="00DA5DB3" w:rsidP="00DA5DB3">
      <w:pPr>
        <w:autoSpaceDE w:val="0"/>
        <w:autoSpaceDN w:val="0"/>
      </w:pPr>
    </w:p>
    <w:p w:rsidR="00DA5DB3" w:rsidRPr="00E82113" w:rsidRDefault="00DA5DB3">
      <w:pPr>
        <w:pStyle w:val="FootnoteText"/>
        <w:rPr>
          <w:b/>
          <w:bCs/>
          <w:i/>
          <w:iCs/>
          <w:sz w:val="16"/>
          <w:szCs w:val="16"/>
        </w:rPr>
      </w:pPr>
      <w:r w:rsidRPr="00E82113">
        <w:rPr>
          <w:i/>
          <w:iCs/>
          <w:sz w:val="16"/>
          <w:szCs w:val="16"/>
        </w:rPr>
        <w:t xml:space="preserve">1 Source: Amundi ETF, indexing &amp; Smart Beta as of </w:t>
      </w:r>
      <w:r w:rsidRPr="00E82113">
        <w:rPr>
          <w:bCs/>
          <w:i/>
          <w:iCs/>
          <w:sz w:val="16"/>
          <w:szCs w:val="16"/>
        </w:rPr>
        <w:t>31/03/2017</w:t>
      </w:r>
    </w:p>
    <w:p w:rsidR="00DA5DB3" w:rsidRPr="00E82113" w:rsidRDefault="00DA5DB3">
      <w:pPr>
        <w:pStyle w:val="FootnoteText"/>
        <w:rPr>
          <w:b/>
          <w:bCs/>
          <w:i/>
          <w:iCs/>
          <w:sz w:val="16"/>
          <w:szCs w:val="16"/>
        </w:rPr>
      </w:pPr>
    </w:p>
    <w:p w:rsidR="00DA5DB3" w:rsidRPr="00E82113" w:rsidRDefault="00DA5DB3">
      <w:pPr>
        <w:rPr>
          <w:b/>
          <w:bCs/>
          <w:i/>
          <w:iCs/>
          <w:sz w:val="16"/>
          <w:szCs w:val="16"/>
        </w:rPr>
      </w:pPr>
      <w:r w:rsidRPr="00E82113">
        <w:rPr>
          <w:i/>
          <w:iCs/>
          <w:sz w:val="16"/>
          <w:szCs w:val="16"/>
        </w:rPr>
        <w:t xml:space="preserve">2 Source: Deutsche Bank European Monthly ETF Market Review, </w:t>
      </w:r>
      <w:r w:rsidRPr="00E82113">
        <w:rPr>
          <w:bCs/>
          <w:i/>
          <w:iCs/>
          <w:sz w:val="16"/>
          <w:szCs w:val="16"/>
        </w:rPr>
        <w:t>April 2017</w:t>
      </w:r>
      <w:r w:rsidRPr="00E82113">
        <w:rPr>
          <w:b/>
          <w:bCs/>
          <w:i/>
          <w:iCs/>
          <w:sz w:val="16"/>
          <w:szCs w:val="16"/>
        </w:rPr>
        <w:t>.</w:t>
      </w:r>
    </w:p>
    <w:p w:rsidR="00DA5DB3" w:rsidRPr="00E82113" w:rsidRDefault="00DA5DB3">
      <w:pPr>
        <w:autoSpaceDE w:val="0"/>
        <w:autoSpaceDN w:val="0"/>
      </w:pPr>
    </w:p>
    <w:p w:rsidR="00DA5DB3" w:rsidRPr="00E82113" w:rsidRDefault="00DA5DB3" w:rsidP="00DA5DB3">
      <w:pPr>
        <w:rPr>
          <w:b/>
          <w:bCs/>
          <w:sz w:val="28"/>
          <w:szCs w:val="28"/>
        </w:rPr>
      </w:pPr>
    </w:p>
    <w:p w:rsidR="00DA5DB3" w:rsidRPr="00E82113" w:rsidRDefault="00DA5DB3" w:rsidP="00DA5DB3">
      <w:pPr>
        <w:rPr>
          <w:b/>
          <w:bCs/>
          <w:sz w:val="28"/>
          <w:szCs w:val="28"/>
        </w:rPr>
      </w:pPr>
    </w:p>
    <w:p w:rsidR="00DA5DB3" w:rsidRPr="00E82113" w:rsidRDefault="00DA5DB3" w:rsidP="00DA5DB3">
      <w:pPr>
        <w:rPr>
          <w:sz w:val="22"/>
          <w:szCs w:val="22"/>
        </w:rPr>
      </w:pPr>
    </w:p>
    <w:p w:rsidR="003E6D8F" w:rsidRPr="00E82113" w:rsidRDefault="003E6D8F" w:rsidP="008746BB">
      <w:pPr>
        <w:rPr>
          <w:sz w:val="22"/>
          <w:szCs w:val="22"/>
        </w:rPr>
      </w:pPr>
    </w:p>
    <w:sectPr w:rsidR="003E6D8F" w:rsidRPr="00E82113" w:rsidSect="00426901">
      <w:pgSz w:w="11906" w:h="16838"/>
      <w:pgMar w:top="993" w:right="1418" w:bottom="1135"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0F" w:rsidRDefault="0045100F">
      <w:r>
        <w:separator/>
      </w:r>
    </w:p>
  </w:endnote>
  <w:endnote w:type="continuationSeparator" w:id="0">
    <w:p w:rsidR="0045100F" w:rsidRDefault="00451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0F" w:rsidRDefault="0045100F">
      <w:r>
        <w:separator/>
      </w:r>
    </w:p>
  </w:footnote>
  <w:footnote w:type="continuationSeparator" w:id="0">
    <w:p w:rsidR="0045100F" w:rsidRDefault="00451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86A0A8"/>
    <w:lvl w:ilvl="0">
      <w:numFmt w:val="bullet"/>
      <w:lvlText w:val="*"/>
      <w:lvlJc w:val="left"/>
    </w:lvl>
  </w:abstractNum>
  <w:abstractNum w:abstractNumId="1">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B001A"/>
    <w:multiLevelType w:val="hybridMultilevel"/>
    <w:tmpl w:val="8508E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C6751A9"/>
    <w:multiLevelType w:val="hybridMultilevel"/>
    <w:tmpl w:val="F4E6C7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6648DC"/>
    <w:multiLevelType w:val="hybridMultilevel"/>
    <w:tmpl w:val="68085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2701AA"/>
    <w:multiLevelType w:val="hybridMultilevel"/>
    <w:tmpl w:val="0F08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3F2444"/>
    <w:multiLevelType w:val="hybridMultilevel"/>
    <w:tmpl w:val="FF24A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8865EC"/>
    <w:multiLevelType w:val="hybridMultilevel"/>
    <w:tmpl w:val="A986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DC94CA1"/>
    <w:multiLevelType w:val="hybridMultilevel"/>
    <w:tmpl w:val="033C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EB7C3A"/>
    <w:multiLevelType w:val="hybridMultilevel"/>
    <w:tmpl w:val="95CC6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450853"/>
    <w:multiLevelType w:val="hybridMultilevel"/>
    <w:tmpl w:val="F8F46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3"/>
  </w:num>
  <w:num w:numId="5">
    <w:abstractNumId w:val="23"/>
  </w:num>
  <w:num w:numId="6">
    <w:abstractNumId w:val="16"/>
  </w:num>
  <w:num w:numId="7">
    <w:abstractNumId w:val="25"/>
  </w:num>
  <w:num w:numId="8">
    <w:abstractNumId w:val="17"/>
  </w:num>
  <w:num w:numId="9">
    <w:abstractNumId w:val="15"/>
  </w:num>
  <w:num w:numId="10">
    <w:abstractNumId w:val="9"/>
  </w:num>
  <w:num w:numId="11">
    <w:abstractNumId w:val="1"/>
  </w:num>
  <w:num w:numId="12">
    <w:abstractNumId w:val="22"/>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21"/>
  </w:num>
  <w:num w:numId="15">
    <w:abstractNumId w:val="6"/>
  </w:num>
  <w:num w:numId="16">
    <w:abstractNumId w:val="11"/>
  </w:num>
  <w:num w:numId="17">
    <w:abstractNumId w:val="3"/>
  </w:num>
  <w:num w:numId="18">
    <w:abstractNumId w:val="19"/>
  </w:num>
  <w:num w:numId="19">
    <w:abstractNumId w:val="20"/>
  </w:num>
  <w:num w:numId="20">
    <w:abstractNumId w:val="18"/>
  </w:num>
  <w:num w:numId="21">
    <w:abstractNumId w:val="8"/>
  </w:num>
  <w:num w:numId="22">
    <w:abstractNumId w:val="5"/>
  </w:num>
  <w:num w:numId="23">
    <w:abstractNumId w:val="14"/>
  </w:num>
  <w:num w:numId="24">
    <w:abstractNumId w:val="2"/>
  </w:num>
  <w:num w:numId="25">
    <w:abstractNumId w:val="12"/>
  </w:num>
  <w:num w:numId="26">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123905"/>
  </w:hdrShapeDefaults>
  <w:footnotePr>
    <w:footnote w:id="-1"/>
    <w:footnote w:id="0"/>
  </w:footnotePr>
  <w:endnotePr>
    <w:endnote w:id="-1"/>
    <w:endnote w:id="0"/>
  </w:endnotePr>
  <w:compat/>
  <w:rsids>
    <w:rsidRoot w:val="003E02F0"/>
    <w:rsid w:val="000055EB"/>
    <w:rsid w:val="00006D79"/>
    <w:rsid w:val="000070DF"/>
    <w:rsid w:val="00015EC6"/>
    <w:rsid w:val="00023DEF"/>
    <w:rsid w:val="000300CC"/>
    <w:rsid w:val="00031786"/>
    <w:rsid w:val="0003189A"/>
    <w:rsid w:val="00034366"/>
    <w:rsid w:val="00034CB4"/>
    <w:rsid w:val="00035D5B"/>
    <w:rsid w:val="00037390"/>
    <w:rsid w:val="00063123"/>
    <w:rsid w:val="00071E7E"/>
    <w:rsid w:val="00075A5B"/>
    <w:rsid w:val="00075C4A"/>
    <w:rsid w:val="000867E0"/>
    <w:rsid w:val="00087BE7"/>
    <w:rsid w:val="00093283"/>
    <w:rsid w:val="00093F2B"/>
    <w:rsid w:val="00095310"/>
    <w:rsid w:val="0009747F"/>
    <w:rsid w:val="000B174B"/>
    <w:rsid w:val="000B42E8"/>
    <w:rsid w:val="000C15ED"/>
    <w:rsid w:val="000C390B"/>
    <w:rsid w:val="000C46F8"/>
    <w:rsid w:val="000C4995"/>
    <w:rsid w:val="000D3AAA"/>
    <w:rsid w:val="000D5E26"/>
    <w:rsid w:val="000E55ED"/>
    <w:rsid w:val="000E706B"/>
    <w:rsid w:val="000F1556"/>
    <w:rsid w:val="000F74A0"/>
    <w:rsid w:val="00101690"/>
    <w:rsid w:val="0010231C"/>
    <w:rsid w:val="00102B4A"/>
    <w:rsid w:val="00104363"/>
    <w:rsid w:val="00107463"/>
    <w:rsid w:val="00107976"/>
    <w:rsid w:val="00113480"/>
    <w:rsid w:val="00115871"/>
    <w:rsid w:val="00117F29"/>
    <w:rsid w:val="00124136"/>
    <w:rsid w:val="00125A7A"/>
    <w:rsid w:val="00133D59"/>
    <w:rsid w:val="001357C2"/>
    <w:rsid w:val="001372DA"/>
    <w:rsid w:val="001532CC"/>
    <w:rsid w:val="001564BA"/>
    <w:rsid w:val="001609A7"/>
    <w:rsid w:val="001661F2"/>
    <w:rsid w:val="001704C4"/>
    <w:rsid w:val="00170F43"/>
    <w:rsid w:val="00171129"/>
    <w:rsid w:val="00173892"/>
    <w:rsid w:val="00173C06"/>
    <w:rsid w:val="00173E46"/>
    <w:rsid w:val="00176773"/>
    <w:rsid w:val="00177AC0"/>
    <w:rsid w:val="00183853"/>
    <w:rsid w:val="001866B0"/>
    <w:rsid w:val="00186FC0"/>
    <w:rsid w:val="001914D8"/>
    <w:rsid w:val="0019491E"/>
    <w:rsid w:val="001A50D7"/>
    <w:rsid w:val="001A723F"/>
    <w:rsid w:val="001D4033"/>
    <w:rsid w:val="001D6D13"/>
    <w:rsid w:val="001D7D8B"/>
    <w:rsid w:val="001E1712"/>
    <w:rsid w:val="001E3DCA"/>
    <w:rsid w:val="001E4A05"/>
    <w:rsid w:val="001E5C18"/>
    <w:rsid w:val="001F04CF"/>
    <w:rsid w:val="00203EA4"/>
    <w:rsid w:val="00205AF3"/>
    <w:rsid w:val="00206FCA"/>
    <w:rsid w:val="00211CD6"/>
    <w:rsid w:val="002127BD"/>
    <w:rsid w:val="002155E7"/>
    <w:rsid w:val="00223172"/>
    <w:rsid w:val="002312C3"/>
    <w:rsid w:val="00233EEB"/>
    <w:rsid w:val="002347F6"/>
    <w:rsid w:val="00245F77"/>
    <w:rsid w:val="002461A8"/>
    <w:rsid w:val="002517E8"/>
    <w:rsid w:val="00252F83"/>
    <w:rsid w:val="00262300"/>
    <w:rsid w:val="00263CEA"/>
    <w:rsid w:val="00264B4E"/>
    <w:rsid w:val="002663EB"/>
    <w:rsid w:val="002727EB"/>
    <w:rsid w:val="00275FBA"/>
    <w:rsid w:val="00281809"/>
    <w:rsid w:val="0028334C"/>
    <w:rsid w:val="00294183"/>
    <w:rsid w:val="002A0140"/>
    <w:rsid w:val="002A7D19"/>
    <w:rsid w:val="002B3535"/>
    <w:rsid w:val="002B3AF0"/>
    <w:rsid w:val="002B4F5C"/>
    <w:rsid w:val="002D633D"/>
    <w:rsid w:val="002E1030"/>
    <w:rsid w:val="002E4F78"/>
    <w:rsid w:val="002E6F08"/>
    <w:rsid w:val="002F211C"/>
    <w:rsid w:val="002F45C6"/>
    <w:rsid w:val="002F4C43"/>
    <w:rsid w:val="002F6948"/>
    <w:rsid w:val="002F77B4"/>
    <w:rsid w:val="00300EB8"/>
    <w:rsid w:val="00306237"/>
    <w:rsid w:val="003065EB"/>
    <w:rsid w:val="003125F6"/>
    <w:rsid w:val="0031268D"/>
    <w:rsid w:val="003163B7"/>
    <w:rsid w:val="00321867"/>
    <w:rsid w:val="00321D53"/>
    <w:rsid w:val="0032664E"/>
    <w:rsid w:val="003269F9"/>
    <w:rsid w:val="00327CBC"/>
    <w:rsid w:val="00334AD5"/>
    <w:rsid w:val="0034557B"/>
    <w:rsid w:val="003475FA"/>
    <w:rsid w:val="003622AD"/>
    <w:rsid w:val="00370573"/>
    <w:rsid w:val="00377E69"/>
    <w:rsid w:val="00380C76"/>
    <w:rsid w:val="00380F24"/>
    <w:rsid w:val="00384921"/>
    <w:rsid w:val="003853C0"/>
    <w:rsid w:val="00386F35"/>
    <w:rsid w:val="00393726"/>
    <w:rsid w:val="003939FB"/>
    <w:rsid w:val="003A22BC"/>
    <w:rsid w:val="003A7325"/>
    <w:rsid w:val="003B0827"/>
    <w:rsid w:val="003B13CC"/>
    <w:rsid w:val="003B50EF"/>
    <w:rsid w:val="003C1C3D"/>
    <w:rsid w:val="003C6EA1"/>
    <w:rsid w:val="003D4812"/>
    <w:rsid w:val="003E02F0"/>
    <w:rsid w:val="003E13E6"/>
    <w:rsid w:val="003E169C"/>
    <w:rsid w:val="003E1F59"/>
    <w:rsid w:val="003E584A"/>
    <w:rsid w:val="003E6D8F"/>
    <w:rsid w:val="003E7E9C"/>
    <w:rsid w:val="004040F1"/>
    <w:rsid w:val="0041298C"/>
    <w:rsid w:val="00412E97"/>
    <w:rsid w:val="00414925"/>
    <w:rsid w:val="00416F91"/>
    <w:rsid w:val="004204A8"/>
    <w:rsid w:val="00420874"/>
    <w:rsid w:val="00421993"/>
    <w:rsid w:val="00426901"/>
    <w:rsid w:val="00430591"/>
    <w:rsid w:val="00433382"/>
    <w:rsid w:val="004343B9"/>
    <w:rsid w:val="0045100F"/>
    <w:rsid w:val="00452969"/>
    <w:rsid w:val="004540A3"/>
    <w:rsid w:val="004559B5"/>
    <w:rsid w:val="004764DC"/>
    <w:rsid w:val="004820E6"/>
    <w:rsid w:val="00484DB0"/>
    <w:rsid w:val="00486C35"/>
    <w:rsid w:val="00492063"/>
    <w:rsid w:val="004A127F"/>
    <w:rsid w:val="004A294E"/>
    <w:rsid w:val="004C3DC2"/>
    <w:rsid w:val="004C63E5"/>
    <w:rsid w:val="004D0478"/>
    <w:rsid w:val="004D0737"/>
    <w:rsid w:val="004D0FBE"/>
    <w:rsid w:val="004D13C5"/>
    <w:rsid w:val="004D1CD4"/>
    <w:rsid w:val="004D3210"/>
    <w:rsid w:val="004E047D"/>
    <w:rsid w:val="004E53B4"/>
    <w:rsid w:val="004F5266"/>
    <w:rsid w:val="004F7E21"/>
    <w:rsid w:val="00505219"/>
    <w:rsid w:val="005072DD"/>
    <w:rsid w:val="00513D31"/>
    <w:rsid w:val="00516969"/>
    <w:rsid w:val="00517422"/>
    <w:rsid w:val="00517898"/>
    <w:rsid w:val="00517D9F"/>
    <w:rsid w:val="00521A13"/>
    <w:rsid w:val="00524CAC"/>
    <w:rsid w:val="00536934"/>
    <w:rsid w:val="00537D6D"/>
    <w:rsid w:val="0054123D"/>
    <w:rsid w:val="00542CFE"/>
    <w:rsid w:val="0054393D"/>
    <w:rsid w:val="00543A29"/>
    <w:rsid w:val="00552AE1"/>
    <w:rsid w:val="0056203E"/>
    <w:rsid w:val="00564E4A"/>
    <w:rsid w:val="00572CF5"/>
    <w:rsid w:val="00573305"/>
    <w:rsid w:val="00575302"/>
    <w:rsid w:val="00582F6D"/>
    <w:rsid w:val="00594602"/>
    <w:rsid w:val="0059691A"/>
    <w:rsid w:val="005A4457"/>
    <w:rsid w:val="005A5781"/>
    <w:rsid w:val="005A6E35"/>
    <w:rsid w:val="005A74A5"/>
    <w:rsid w:val="005B1F8D"/>
    <w:rsid w:val="005B413D"/>
    <w:rsid w:val="005B704C"/>
    <w:rsid w:val="005C0C35"/>
    <w:rsid w:val="005C7031"/>
    <w:rsid w:val="005C7F17"/>
    <w:rsid w:val="005D3B19"/>
    <w:rsid w:val="005E711B"/>
    <w:rsid w:val="005F0F9E"/>
    <w:rsid w:val="005F1813"/>
    <w:rsid w:val="005F3172"/>
    <w:rsid w:val="005F3BE2"/>
    <w:rsid w:val="006077E4"/>
    <w:rsid w:val="006114FF"/>
    <w:rsid w:val="0061357A"/>
    <w:rsid w:val="00614EBF"/>
    <w:rsid w:val="00621B6D"/>
    <w:rsid w:val="00625361"/>
    <w:rsid w:val="006270C0"/>
    <w:rsid w:val="00632401"/>
    <w:rsid w:val="00635AC0"/>
    <w:rsid w:val="00640DBA"/>
    <w:rsid w:val="006428D6"/>
    <w:rsid w:val="00647009"/>
    <w:rsid w:val="0066768F"/>
    <w:rsid w:val="006705C8"/>
    <w:rsid w:val="00670B8C"/>
    <w:rsid w:val="0067553D"/>
    <w:rsid w:val="00675892"/>
    <w:rsid w:val="00676578"/>
    <w:rsid w:val="00681F03"/>
    <w:rsid w:val="006852C0"/>
    <w:rsid w:val="00696CD9"/>
    <w:rsid w:val="006A387E"/>
    <w:rsid w:val="006A461E"/>
    <w:rsid w:val="006A5D54"/>
    <w:rsid w:val="006A6A6B"/>
    <w:rsid w:val="006B02D5"/>
    <w:rsid w:val="006B11FA"/>
    <w:rsid w:val="006B7826"/>
    <w:rsid w:val="006C1110"/>
    <w:rsid w:val="006C285D"/>
    <w:rsid w:val="006C6845"/>
    <w:rsid w:val="006D1320"/>
    <w:rsid w:val="006D3D05"/>
    <w:rsid w:val="006D6CB4"/>
    <w:rsid w:val="006E131C"/>
    <w:rsid w:val="006E37E7"/>
    <w:rsid w:val="006E40A9"/>
    <w:rsid w:val="006F5DD4"/>
    <w:rsid w:val="0070004B"/>
    <w:rsid w:val="00713B2E"/>
    <w:rsid w:val="0071686D"/>
    <w:rsid w:val="00716D84"/>
    <w:rsid w:val="00730055"/>
    <w:rsid w:val="007302BA"/>
    <w:rsid w:val="0073265D"/>
    <w:rsid w:val="007501BB"/>
    <w:rsid w:val="007512FA"/>
    <w:rsid w:val="00756825"/>
    <w:rsid w:val="00760C82"/>
    <w:rsid w:val="007638CE"/>
    <w:rsid w:val="007709A4"/>
    <w:rsid w:val="00772E45"/>
    <w:rsid w:val="00783A46"/>
    <w:rsid w:val="00783F5D"/>
    <w:rsid w:val="00785995"/>
    <w:rsid w:val="0079329E"/>
    <w:rsid w:val="007938F0"/>
    <w:rsid w:val="007A0008"/>
    <w:rsid w:val="007A2082"/>
    <w:rsid w:val="007B007C"/>
    <w:rsid w:val="007B0994"/>
    <w:rsid w:val="007B5711"/>
    <w:rsid w:val="007B65F7"/>
    <w:rsid w:val="007C19A1"/>
    <w:rsid w:val="007C59EC"/>
    <w:rsid w:val="007C79A3"/>
    <w:rsid w:val="007C7A01"/>
    <w:rsid w:val="007D13A1"/>
    <w:rsid w:val="007D43DE"/>
    <w:rsid w:val="007E2ACB"/>
    <w:rsid w:val="007E67E2"/>
    <w:rsid w:val="007F67F3"/>
    <w:rsid w:val="00800B9C"/>
    <w:rsid w:val="0080531B"/>
    <w:rsid w:val="008109BA"/>
    <w:rsid w:val="008255A7"/>
    <w:rsid w:val="0082599F"/>
    <w:rsid w:val="00826606"/>
    <w:rsid w:val="00831A5A"/>
    <w:rsid w:val="00834927"/>
    <w:rsid w:val="00834D81"/>
    <w:rsid w:val="00835311"/>
    <w:rsid w:val="00836163"/>
    <w:rsid w:val="00846BB9"/>
    <w:rsid w:val="0085531E"/>
    <w:rsid w:val="00856281"/>
    <w:rsid w:val="008612CE"/>
    <w:rsid w:val="00871C68"/>
    <w:rsid w:val="008746BB"/>
    <w:rsid w:val="00876D13"/>
    <w:rsid w:val="008804E2"/>
    <w:rsid w:val="00882E69"/>
    <w:rsid w:val="008908CF"/>
    <w:rsid w:val="00893B78"/>
    <w:rsid w:val="0089438A"/>
    <w:rsid w:val="0089775C"/>
    <w:rsid w:val="008A3FAC"/>
    <w:rsid w:val="008A4F1D"/>
    <w:rsid w:val="008B1FB5"/>
    <w:rsid w:val="008B6632"/>
    <w:rsid w:val="008C5FB9"/>
    <w:rsid w:val="008C6E78"/>
    <w:rsid w:val="008D02EE"/>
    <w:rsid w:val="008D4565"/>
    <w:rsid w:val="008E1589"/>
    <w:rsid w:val="008E272F"/>
    <w:rsid w:val="008E3A36"/>
    <w:rsid w:val="008F2F14"/>
    <w:rsid w:val="008F4CDA"/>
    <w:rsid w:val="008F6181"/>
    <w:rsid w:val="0090347D"/>
    <w:rsid w:val="00906049"/>
    <w:rsid w:val="0090625D"/>
    <w:rsid w:val="009066A0"/>
    <w:rsid w:val="009104E1"/>
    <w:rsid w:val="00912423"/>
    <w:rsid w:val="00913B08"/>
    <w:rsid w:val="009237C7"/>
    <w:rsid w:val="00925D32"/>
    <w:rsid w:val="009345B2"/>
    <w:rsid w:val="009453A3"/>
    <w:rsid w:val="00946F96"/>
    <w:rsid w:val="0095356E"/>
    <w:rsid w:val="00961019"/>
    <w:rsid w:val="00963D3D"/>
    <w:rsid w:val="0097121A"/>
    <w:rsid w:val="009712B1"/>
    <w:rsid w:val="009715FD"/>
    <w:rsid w:val="00973E8B"/>
    <w:rsid w:val="00984FB8"/>
    <w:rsid w:val="0099003D"/>
    <w:rsid w:val="0099381B"/>
    <w:rsid w:val="009A1EA4"/>
    <w:rsid w:val="009A1F44"/>
    <w:rsid w:val="009A4952"/>
    <w:rsid w:val="009B0845"/>
    <w:rsid w:val="009B527B"/>
    <w:rsid w:val="009C01F2"/>
    <w:rsid w:val="009C1DE9"/>
    <w:rsid w:val="009D1631"/>
    <w:rsid w:val="009D1AEE"/>
    <w:rsid w:val="009D40E3"/>
    <w:rsid w:val="009D518E"/>
    <w:rsid w:val="009E48AD"/>
    <w:rsid w:val="009F143F"/>
    <w:rsid w:val="00A0163C"/>
    <w:rsid w:val="00A01DB7"/>
    <w:rsid w:val="00A03167"/>
    <w:rsid w:val="00A0394D"/>
    <w:rsid w:val="00A07324"/>
    <w:rsid w:val="00A1019B"/>
    <w:rsid w:val="00A20ECD"/>
    <w:rsid w:val="00A22548"/>
    <w:rsid w:val="00A36B4F"/>
    <w:rsid w:val="00A37AF6"/>
    <w:rsid w:val="00A45AF6"/>
    <w:rsid w:val="00A502F8"/>
    <w:rsid w:val="00A50F2B"/>
    <w:rsid w:val="00A5231E"/>
    <w:rsid w:val="00A52AE0"/>
    <w:rsid w:val="00A5393D"/>
    <w:rsid w:val="00A53CB0"/>
    <w:rsid w:val="00A549CD"/>
    <w:rsid w:val="00A55FEC"/>
    <w:rsid w:val="00A6437E"/>
    <w:rsid w:val="00A70A42"/>
    <w:rsid w:val="00A71244"/>
    <w:rsid w:val="00A73DA4"/>
    <w:rsid w:val="00A76864"/>
    <w:rsid w:val="00A956C6"/>
    <w:rsid w:val="00A96A47"/>
    <w:rsid w:val="00AA0C4F"/>
    <w:rsid w:val="00AB00E8"/>
    <w:rsid w:val="00AB3888"/>
    <w:rsid w:val="00AC14C8"/>
    <w:rsid w:val="00AC210E"/>
    <w:rsid w:val="00AC5322"/>
    <w:rsid w:val="00AD2CC3"/>
    <w:rsid w:val="00AD5A04"/>
    <w:rsid w:val="00AD6AA8"/>
    <w:rsid w:val="00AE5609"/>
    <w:rsid w:val="00AF2237"/>
    <w:rsid w:val="00AF2BBF"/>
    <w:rsid w:val="00AF5D60"/>
    <w:rsid w:val="00AF7301"/>
    <w:rsid w:val="00B0249E"/>
    <w:rsid w:val="00B05EF4"/>
    <w:rsid w:val="00B06754"/>
    <w:rsid w:val="00B10275"/>
    <w:rsid w:val="00B133C2"/>
    <w:rsid w:val="00B1465B"/>
    <w:rsid w:val="00B16653"/>
    <w:rsid w:val="00B16C03"/>
    <w:rsid w:val="00B21ED3"/>
    <w:rsid w:val="00B2357F"/>
    <w:rsid w:val="00B2369C"/>
    <w:rsid w:val="00B27288"/>
    <w:rsid w:val="00B37FB4"/>
    <w:rsid w:val="00B42C14"/>
    <w:rsid w:val="00B470E3"/>
    <w:rsid w:val="00B52783"/>
    <w:rsid w:val="00B55B12"/>
    <w:rsid w:val="00B62337"/>
    <w:rsid w:val="00B754D4"/>
    <w:rsid w:val="00B755AD"/>
    <w:rsid w:val="00B777B5"/>
    <w:rsid w:val="00B80E16"/>
    <w:rsid w:val="00B826D1"/>
    <w:rsid w:val="00B82BA6"/>
    <w:rsid w:val="00B83010"/>
    <w:rsid w:val="00B83B53"/>
    <w:rsid w:val="00B83E49"/>
    <w:rsid w:val="00B91805"/>
    <w:rsid w:val="00B96BD2"/>
    <w:rsid w:val="00B96D53"/>
    <w:rsid w:val="00B970DD"/>
    <w:rsid w:val="00BA5EA8"/>
    <w:rsid w:val="00BA7E35"/>
    <w:rsid w:val="00BB2248"/>
    <w:rsid w:val="00BB3D1D"/>
    <w:rsid w:val="00BB45D6"/>
    <w:rsid w:val="00BB5D74"/>
    <w:rsid w:val="00BC2CF3"/>
    <w:rsid w:val="00BC3B49"/>
    <w:rsid w:val="00BC5228"/>
    <w:rsid w:val="00BC5F44"/>
    <w:rsid w:val="00BC6E06"/>
    <w:rsid w:val="00BD144F"/>
    <w:rsid w:val="00BD165B"/>
    <w:rsid w:val="00BD1D1F"/>
    <w:rsid w:val="00BD5A22"/>
    <w:rsid w:val="00BD5CF7"/>
    <w:rsid w:val="00BD6046"/>
    <w:rsid w:val="00BD6D55"/>
    <w:rsid w:val="00BD7110"/>
    <w:rsid w:val="00BE2BF9"/>
    <w:rsid w:val="00BF0490"/>
    <w:rsid w:val="00C00FD0"/>
    <w:rsid w:val="00C02A6F"/>
    <w:rsid w:val="00C03DC6"/>
    <w:rsid w:val="00C05173"/>
    <w:rsid w:val="00C0560C"/>
    <w:rsid w:val="00C1408A"/>
    <w:rsid w:val="00C144BF"/>
    <w:rsid w:val="00C17C2B"/>
    <w:rsid w:val="00C203DD"/>
    <w:rsid w:val="00C22824"/>
    <w:rsid w:val="00C23A04"/>
    <w:rsid w:val="00C241E0"/>
    <w:rsid w:val="00C24EB3"/>
    <w:rsid w:val="00C359CC"/>
    <w:rsid w:val="00C409FC"/>
    <w:rsid w:val="00C44CDE"/>
    <w:rsid w:val="00C45A94"/>
    <w:rsid w:val="00C46879"/>
    <w:rsid w:val="00C4743E"/>
    <w:rsid w:val="00C51442"/>
    <w:rsid w:val="00C518EB"/>
    <w:rsid w:val="00C551E9"/>
    <w:rsid w:val="00C628E5"/>
    <w:rsid w:val="00C63DB4"/>
    <w:rsid w:val="00C6686F"/>
    <w:rsid w:val="00C770C4"/>
    <w:rsid w:val="00C817F6"/>
    <w:rsid w:val="00C822BE"/>
    <w:rsid w:val="00C85734"/>
    <w:rsid w:val="00C90F9D"/>
    <w:rsid w:val="00CA301B"/>
    <w:rsid w:val="00CA5062"/>
    <w:rsid w:val="00CA71C7"/>
    <w:rsid w:val="00CB0A1E"/>
    <w:rsid w:val="00CB1163"/>
    <w:rsid w:val="00CB249B"/>
    <w:rsid w:val="00CB2EA0"/>
    <w:rsid w:val="00CC0FCA"/>
    <w:rsid w:val="00CC1371"/>
    <w:rsid w:val="00CC342C"/>
    <w:rsid w:val="00CC486D"/>
    <w:rsid w:val="00CC5882"/>
    <w:rsid w:val="00CC7899"/>
    <w:rsid w:val="00CD3A89"/>
    <w:rsid w:val="00CD62EA"/>
    <w:rsid w:val="00CE5886"/>
    <w:rsid w:val="00CF111D"/>
    <w:rsid w:val="00CF19D2"/>
    <w:rsid w:val="00CF3168"/>
    <w:rsid w:val="00CF7793"/>
    <w:rsid w:val="00D046A6"/>
    <w:rsid w:val="00D0774B"/>
    <w:rsid w:val="00D15ABD"/>
    <w:rsid w:val="00D16C35"/>
    <w:rsid w:val="00D30976"/>
    <w:rsid w:val="00D4037B"/>
    <w:rsid w:val="00D42461"/>
    <w:rsid w:val="00D44789"/>
    <w:rsid w:val="00D47B8D"/>
    <w:rsid w:val="00D5241A"/>
    <w:rsid w:val="00D53DAF"/>
    <w:rsid w:val="00D556E9"/>
    <w:rsid w:val="00D55EAD"/>
    <w:rsid w:val="00D66342"/>
    <w:rsid w:val="00D6666B"/>
    <w:rsid w:val="00D71841"/>
    <w:rsid w:val="00D7670D"/>
    <w:rsid w:val="00D8245A"/>
    <w:rsid w:val="00D87D56"/>
    <w:rsid w:val="00D90407"/>
    <w:rsid w:val="00D9241B"/>
    <w:rsid w:val="00D94321"/>
    <w:rsid w:val="00D96018"/>
    <w:rsid w:val="00D974BB"/>
    <w:rsid w:val="00D975ED"/>
    <w:rsid w:val="00DA00DE"/>
    <w:rsid w:val="00DA1390"/>
    <w:rsid w:val="00DA5DB3"/>
    <w:rsid w:val="00DA6881"/>
    <w:rsid w:val="00DB1759"/>
    <w:rsid w:val="00DB416C"/>
    <w:rsid w:val="00DC0CCF"/>
    <w:rsid w:val="00DC2FB8"/>
    <w:rsid w:val="00DC566F"/>
    <w:rsid w:val="00DC7244"/>
    <w:rsid w:val="00DD0876"/>
    <w:rsid w:val="00DE1458"/>
    <w:rsid w:val="00DE2760"/>
    <w:rsid w:val="00DE2FA1"/>
    <w:rsid w:val="00DF292E"/>
    <w:rsid w:val="00E04365"/>
    <w:rsid w:val="00E06A43"/>
    <w:rsid w:val="00E1072E"/>
    <w:rsid w:val="00E10B7E"/>
    <w:rsid w:val="00E11F6E"/>
    <w:rsid w:val="00E123AC"/>
    <w:rsid w:val="00E13561"/>
    <w:rsid w:val="00E14C28"/>
    <w:rsid w:val="00E232A1"/>
    <w:rsid w:val="00E26C63"/>
    <w:rsid w:val="00E27DC5"/>
    <w:rsid w:val="00E34B64"/>
    <w:rsid w:val="00E4196C"/>
    <w:rsid w:val="00E64DCB"/>
    <w:rsid w:val="00E71A13"/>
    <w:rsid w:val="00E82113"/>
    <w:rsid w:val="00E85C7B"/>
    <w:rsid w:val="00E8617A"/>
    <w:rsid w:val="00E90119"/>
    <w:rsid w:val="00E92193"/>
    <w:rsid w:val="00E9390C"/>
    <w:rsid w:val="00E95422"/>
    <w:rsid w:val="00E97CC9"/>
    <w:rsid w:val="00EA2BE8"/>
    <w:rsid w:val="00EA454E"/>
    <w:rsid w:val="00EE5EE5"/>
    <w:rsid w:val="00F027FC"/>
    <w:rsid w:val="00F02EC0"/>
    <w:rsid w:val="00F057FF"/>
    <w:rsid w:val="00F06ACE"/>
    <w:rsid w:val="00F13F7F"/>
    <w:rsid w:val="00F17C9B"/>
    <w:rsid w:val="00F22148"/>
    <w:rsid w:val="00F27D38"/>
    <w:rsid w:val="00F30995"/>
    <w:rsid w:val="00F31DB1"/>
    <w:rsid w:val="00F33334"/>
    <w:rsid w:val="00F374B3"/>
    <w:rsid w:val="00F409B2"/>
    <w:rsid w:val="00F40D60"/>
    <w:rsid w:val="00F44793"/>
    <w:rsid w:val="00F54BEB"/>
    <w:rsid w:val="00F5606E"/>
    <w:rsid w:val="00F569C7"/>
    <w:rsid w:val="00F608A3"/>
    <w:rsid w:val="00F628BA"/>
    <w:rsid w:val="00F67B1B"/>
    <w:rsid w:val="00F67D19"/>
    <w:rsid w:val="00F7137B"/>
    <w:rsid w:val="00F73560"/>
    <w:rsid w:val="00F74120"/>
    <w:rsid w:val="00F8383E"/>
    <w:rsid w:val="00F87770"/>
    <w:rsid w:val="00F92DA1"/>
    <w:rsid w:val="00F95B27"/>
    <w:rsid w:val="00FA0748"/>
    <w:rsid w:val="00FA1EBA"/>
    <w:rsid w:val="00FA25C4"/>
    <w:rsid w:val="00FA2DB0"/>
    <w:rsid w:val="00FA2DC8"/>
    <w:rsid w:val="00FA37D2"/>
    <w:rsid w:val="00FB3378"/>
    <w:rsid w:val="00FC6332"/>
    <w:rsid w:val="00FC7115"/>
    <w:rsid w:val="00FC7417"/>
    <w:rsid w:val="00FD243D"/>
    <w:rsid w:val="00FD3D63"/>
    <w:rsid w:val="00FD44AD"/>
    <w:rsid w:val="00FD5C45"/>
    <w:rsid w:val="00FD7905"/>
    <w:rsid w:val="00FE0FE2"/>
    <w:rsid w:val="00FF1D3F"/>
    <w:rsid w:val="00FF1F89"/>
    <w:rsid w:val="00FF382C"/>
    <w:rsid w:val="00FF3A83"/>
    <w:rsid w:val="00FF45E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76"/>
    <w:rPr>
      <w:sz w:val="24"/>
      <w:szCs w:val="24"/>
      <w:lang w:val="en-GB"/>
    </w:rPr>
  </w:style>
  <w:style w:type="paragraph" w:styleId="Heading1">
    <w:name w:val="heading 1"/>
    <w:basedOn w:val="Normal"/>
    <w:next w:val="Normal"/>
    <w:link w:val="Heading1Char"/>
    <w:qFormat/>
    <w:rsid w:val="00DD0876"/>
    <w:pPr>
      <w:keepNext/>
      <w:spacing w:line="300" w:lineRule="atLeast"/>
      <w:jc w:val="center"/>
      <w:outlineLvl w:val="0"/>
    </w:pPr>
    <w:rPr>
      <w:rFonts w:ascii="CG Times (PCL6)" w:hAnsi="CG Times (PCL6)"/>
      <w:b/>
      <w:bCs/>
      <w:snapToGrid w:val="0"/>
      <w:sz w:val="22"/>
      <w:szCs w:val="22"/>
    </w:rPr>
  </w:style>
  <w:style w:type="paragraph" w:styleId="Heading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876"/>
    <w:rPr>
      <w:color w:val="0000FF"/>
      <w:u w:val="single"/>
    </w:rPr>
  </w:style>
  <w:style w:type="paragraph" w:styleId="Header">
    <w:name w:val="header"/>
    <w:basedOn w:val="Normal"/>
    <w:rsid w:val="00DD0876"/>
    <w:pPr>
      <w:tabs>
        <w:tab w:val="center" w:pos="4536"/>
        <w:tab w:val="right" w:pos="9072"/>
      </w:tabs>
    </w:pPr>
    <w:rPr>
      <w:sz w:val="20"/>
      <w:szCs w:val="20"/>
    </w:rPr>
  </w:style>
  <w:style w:type="paragraph" w:styleId="Footer">
    <w:name w:val="footer"/>
    <w:basedOn w:val="Normal"/>
    <w:link w:val="FooterChar"/>
    <w:rsid w:val="00DD0876"/>
    <w:pPr>
      <w:tabs>
        <w:tab w:val="center" w:pos="4536"/>
        <w:tab w:val="right" w:pos="9072"/>
      </w:tabs>
    </w:pPr>
  </w:style>
  <w:style w:type="character" w:styleId="FollowedHyperlink">
    <w:name w:val="FollowedHyperlink"/>
    <w:basedOn w:val="DefaultParagraphFont"/>
    <w:rsid w:val="00DD0876"/>
    <w:rPr>
      <w:color w:val="800080"/>
      <w:u w:val="single"/>
    </w:rPr>
  </w:style>
  <w:style w:type="paragraph" w:styleId="BodyText">
    <w:name w:val="Body Text"/>
    <w:basedOn w:val="Normal"/>
    <w:rsid w:val="00DD0876"/>
    <w:pPr>
      <w:jc w:val="both"/>
    </w:pPr>
    <w:rPr>
      <w:rFonts w:ascii="Arial Narrow" w:hAnsi="Arial Narrow"/>
      <w:snapToGrid w:val="0"/>
      <w:sz w:val="22"/>
      <w:szCs w:val="22"/>
    </w:rPr>
  </w:style>
  <w:style w:type="paragraph" w:styleId="BodyTextIndent">
    <w:name w:val="Body Text Indent"/>
    <w:basedOn w:val="Normal"/>
    <w:rsid w:val="00DD0876"/>
    <w:pPr>
      <w:spacing w:after="120"/>
      <w:ind w:left="283"/>
    </w:pPr>
  </w:style>
  <w:style w:type="paragraph" w:styleId="BodyText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FootnoteText">
    <w:name w:val="footnote text"/>
    <w:aliases w:val="Char, Char"/>
    <w:basedOn w:val="Normal"/>
    <w:link w:val="FootnoteTextChar"/>
    <w:uiPriority w:val="99"/>
    <w:qFormat/>
    <w:rsid w:val="00D556E9"/>
    <w:rPr>
      <w:sz w:val="20"/>
      <w:szCs w:val="20"/>
    </w:rPr>
  </w:style>
  <w:style w:type="character" w:styleId="FootnoteReference">
    <w:name w:val="footnote reference"/>
    <w:basedOn w:val="DefaultParagraphFon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FooterChar">
    <w:name w:val="Footer Char"/>
    <w:link w:val="Footer"/>
    <w:rsid w:val="00117F29"/>
    <w:rPr>
      <w:sz w:val="24"/>
      <w:szCs w:val="24"/>
      <w:lang w:val="en-GB"/>
    </w:rPr>
  </w:style>
  <w:style w:type="character" w:customStyle="1" w:styleId="Heading1Char">
    <w:name w:val="Heading 1 Char"/>
    <w:basedOn w:val="DefaultParagraphFont"/>
    <w:link w:val="Heading1"/>
    <w:rsid w:val="003269F9"/>
    <w:rPr>
      <w:rFonts w:ascii="CG Times (PCL6)" w:hAnsi="CG Times (PCL6)"/>
      <w:b/>
      <w:bCs/>
      <w:snapToGrid w:val="0"/>
      <w:sz w:val="22"/>
      <w:szCs w:val="22"/>
      <w:lang w:val="en-GB"/>
    </w:rPr>
  </w:style>
  <w:style w:type="character" w:styleId="CommentReference">
    <w:name w:val="annotation reference"/>
    <w:basedOn w:val="DefaultParagraphFont"/>
    <w:uiPriority w:val="99"/>
    <w:unhideWhenUsed/>
    <w:rsid w:val="00772E45"/>
    <w:rPr>
      <w:sz w:val="16"/>
      <w:szCs w:val="16"/>
    </w:rPr>
  </w:style>
  <w:style w:type="paragraph" w:styleId="CommentText">
    <w:name w:val="annotation text"/>
    <w:basedOn w:val="Normal"/>
    <w:link w:val="CommentTextCh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TextChar">
    <w:name w:val="Comment Text Char"/>
    <w:basedOn w:val="DefaultParagraphFont"/>
    <w:link w:val="CommentText"/>
    <w:uiPriority w:val="99"/>
    <w:rsid w:val="00772E45"/>
    <w:rPr>
      <w:rFonts w:ascii="Calibri" w:eastAsiaTheme="minorHAnsi" w:hAnsi="Calibri" w:cstheme="minorBidi"/>
      <w:sz w:val="22"/>
      <w:szCs w:val="22"/>
      <w:lang w:val="en-GB" w:eastAsia="en-US"/>
    </w:rPr>
  </w:style>
  <w:style w:type="paragraph" w:styleId="BalloonText">
    <w:name w:val="Balloon Text"/>
    <w:basedOn w:val="Normal"/>
    <w:link w:val="BalloonTextChar"/>
    <w:rsid w:val="00772E45"/>
    <w:rPr>
      <w:rFonts w:ascii="Tahoma" w:hAnsi="Tahoma" w:cs="Tahoma"/>
      <w:sz w:val="16"/>
      <w:szCs w:val="16"/>
    </w:rPr>
  </w:style>
  <w:style w:type="character" w:customStyle="1" w:styleId="BalloonTextChar">
    <w:name w:val="Balloon Text Char"/>
    <w:basedOn w:val="DefaultParagraphFont"/>
    <w:link w:val="BalloonText"/>
    <w:rsid w:val="00772E45"/>
    <w:rPr>
      <w:rFonts w:ascii="Tahoma" w:hAnsi="Tahoma" w:cs="Tahoma"/>
      <w:sz w:val="16"/>
      <w:szCs w:val="16"/>
      <w:lang w:val="en-GB"/>
    </w:rPr>
  </w:style>
  <w:style w:type="paragraph" w:styleId="ListParagraph">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CommentSubject">
    <w:name w:val="annotation subject"/>
    <w:basedOn w:val="CommentText"/>
    <w:next w:val="CommentText"/>
    <w:link w:val="CommentSubjectCh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CommentSubjectChar">
    <w:name w:val="Comment Subject Char"/>
    <w:basedOn w:val="CommentTextChar"/>
    <w:link w:val="CommentSubject"/>
    <w:rsid w:val="00170F43"/>
    <w:rPr>
      <w:rFonts w:ascii="Calibri" w:eastAsiaTheme="minorHAnsi" w:hAnsi="Calibri" w:cstheme="minorBidi"/>
      <w:b/>
      <w:bCs/>
      <w:sz w:val="22"/>
      <w:szCs w:val="22"/>
      <w:lang w:val="en-GB" w:eastAsia="en-US"/>
    </w:rPr>
  </w:style>
  <w:style w:type="paragraph" w:styleId="EndnoteText">
    <w:name w:val="endnote text"/>
    <w:basedOn w:val="Normal"/>
    <w:link w:val="EndnoteTextChar"/>
    <w:rsid w:val="00FD243D"/>
    <w:rPr>
      <w:sz w:val="20"/>
      <w:szCs w:val="20"/>
    </w:rPr>
  </w:style>
  <w:style w:type="character" w:customStyle="1" w:styleId="EndnoteTextChar">
    <w:name w:val="Endnote Text Char"/>
    <w:basedOn w:val="DefaultParagraphFont"/>
    <w:link w:val="EndnoteText"/>
    <w:rsid w:val="00FD243D"/>
    <w:rPr>
      <w:lang w:val="en-GB"/>
    </w:rPr>
  </w:style>
  <w:style w:type="character" w:styleId="EndnoteReference">
    <w:name w:val="endnote reference"/>
    <w:basedOn w:val="DefaultParagraphFont"/>
    <w:rsid w:val="00FD243D"/>
    <w:rPr>
      <w:vertAlign w:val="superscript"/>
    </w:rPr>
  </w:style>
  <w:style w:type="character" w:customStyle="1" w:styleId="bumpedfont15">
    <w:name w:val="bumpedfont15"/>
    <w:basedOn w:val="DefaultParagraphFont"/>
    <w:rsid w:val="00D6666B"/>
  </w:style>
  <w:style w:type="character" w:customStyle="1" w:styleId="FootnoteTextChar">
    <w:name w:val="Footnote Text Char"/>
    <w:aliases w:val="Char Char, Char Char"/>
    <w:basedOn w:val="DefaultParagraphFont"/>
    <w:link w:val="FootnoteText"/>
    <w:uiPriority w:val="99"/>
    <w:rsid w:val="00DA5DB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aliases w:val="Char, Char"/>
    <w:basedOn w:val="Normal"/>
    <w:link w:val="NotedebasdepageCar"/>
    <w:uiPriority w:val="99"/>
    <w:qFormat/>
    <w:rsid w:val="00D556E9"/>
    <w:rPr>
      <w:sz w:val="20"/>
      <w:szCs w:val="20"/>
    </w:rPr>
  </w:style>
  <w:style w:type="character" w:styleId="Appelnotedebasdep">
    <w:name w:val="footnote reference"/>
    <w:basedOn w:val="Policepardfau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iPriority w:val="99"/>
    <w:unhideWhenUsed/>
    <w:rsid w:val="00772E45"/>
    <w:rPr>
      <w:sz w:val="16"/>
      <w:szCs w:val="16"/>
    </w:rPr>
  </w:style>
  <w:style w:type="paragraph" w:styleId="Commentaire">
    <w:name w:val="annotation text"/>
    <w:basedOn w:val="Normal"/>
    <w:link w:val="CommentaireC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uiPriority w:val="99"/>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 w:type="character" w:customStyle="1" w:styleId="NotedebasdepageCar">
    <w:name w:val="Note de bas de page Car"/>
    <w:aliases w:val="Char Car, Char Car"/>
    <w:basedOn w:val="Policepardfaut"/>
    <w:link w:val="Notedebasdepage"/>
    <w:uiPriority w:val="99"/>
    <w:rsid w:val="00DA5DB3"/>
    <w:rPr>
      <w:lang w:val="en-GB"/>
    </w:rPr>
  </w:style>
</w:styles>
</file>

<file path=word/webSettings.xml><?xml version="1.0" encoding="utf-8"?>
<w:webSettings xmlns:r="http://schemas.openxmlformats.org/officeDocument/2006/relationships" xmlns:w="http://schemas.openxmlformats.org/wordprocessingml/2006/main">
  <w:divs>
    <w:div w:id="5616978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386536065">
      <w:bodyDiv w:val="1"/>
      <w:marLeft w:val="0"/>
      <w:marRight w:val="0"/>
      <w:marTop w:val="0"/>
      <w:marBottom w:val="0"/>
      <w:divBdr>
        <w:top w:val="none" w:sz="0" w:space="0" w:color="auto"/>
        <w:left w:val="none" w:sz="0" w:space="0" w:color="auto"/>
        <w:bottom w:val="none" w:sz="0" w:space="0" w:color="auto"/>
        <w:right w:val="none" w:sz="0" w:space="0" w:color="auto"/>
      </w:divBdr>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618">
      <w:bodyDiv w:val="1"/>
      <w:marLeft w:val="0"/>
      <w:marRight w:val="0"/>
      <w:marTop w:val="0"/>
      <w:marBottom w:val="0"/>
      <w:divBdr>
        <w:top w:val="none" w:sz="0" w:space="0" w:color="auto"/>
        <w:left w:val="none" w:sz="0" w:space="0" w:color="auto"/>
        <w:bottom w:val="none" w:sz="0" w:space="0" w:color="auto"/>
        <w:right w:val="none" w:sz="0" w:space="0" w:color="auto"/>
      </w:divBdr>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2309">
      <w:bodyDiv w:val="1"/>
      <w:marLeft w:val="0"/>
      <w:marRight w:val="0"/>
      <w:marTop w:val="0"/>
      <w:marBottom w:val="0"/>
      <w:divBdr>
        <w:top w:val="none" w:sz="0" w:space="0" w:color="auto"/>
        <w:left w:val="none" w:sz="0" w:space="0" w:color="auto"/>
        <w:bottom w:val="none" w:sz="0" w:space="0" w:color="auto"/>
        <w:right w:val="none" w:sz="0" w:space="0" w:color="auto"/>
      </w:divBdr>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997605648">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hec-risk.com" TargetMode="External"/><Relationship Id="rId18" Type="http://schemas.openxmlformats.org/officeDocument/2006/relationships/hyperlink" Target="https://twitter.com/Amundi_ENG"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inkedin.com/company-beta/732914?pathWildcard=732914" TargetMode="External"/><Relationship Id="rId20" Type="http://schemas.openxmlformats.org/officeDocument/2006/relationships/hyperlink" Target="https://www.facebook.com/AmundiOfficial/?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mundi.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docs.edhec-risk.com/mrk/000000/Press/EDHEC_Publication_10th_European_ETF_and_Smart_Beta_Survey.pdf" TargetMode="External"/><Relationship Id="rId14" Type="http://schemas.openxmlformats.org/officeDocument/2006/relationships/hyperlink" Target="http://www.edhec-ris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80F2-2B08-4C8B-8398-08FDE469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1746</Words>
  <Characters>9607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11331</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4</cp:revision>
  <cp:lastPrinted>2017-06-06T07:24:00Z</cp:lastPrinted>
  <dcterms:created xsi:type="dcterms:W3CDTF">2017-06-06T11:38:00Z</dcterms:created>
  <dcterms:modified xsi:type="dcterms:W3CDTF">2017-06-07T07:26:00Z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