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78" w:rsidRPr="00783F5D" w:rsidRDefault="00632401">
      <w:pPr>
        <w:spacing w:line="280" w:lineRule="exact"/>
        <w:jc w:val="center"/>
        <w:rPr>
          <w:b/>
          <w:sz w:val="26"/>
        </w:rPr>
      </w:pPr>
      <w:r w:rsidRPr="00783F5D">
        <w:rPr>
          <w:noProof/>
          <w:lang w:val="fr-FR"/>
        </w:rPr>
        <w:drawing>
          <wp:anchor distT="0" distB="0" distL="114300" distR="114300" simplePos="0" relativeHeight="251656704" behindDoc="0" locked="0" layoutInCell="1" allowOverlap="1">
            <wp:simplePos x="0" y="0"/>
            <wp:positionH relativeFrom="column">
              <wp:posOffset>1485900</wp:posOffset>
            </wp:positionH>
            <wp:positionV relativeFrom="paragraph">
              <wp:posOffset>-228600</wp:posOffset>
            </wp:positionV>
            <wp:extent cx="2171700" cy="848995"/>
            <wp:effectExtent l="19050" t="0" r="0" b="0"/>
            <wp:wrapNone/>
            <wp:docPr id="18"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8" cstate="print"/>
                    <a:srcRect/>
                    <a:stretch>
                      <a:fillRect/>
                    </a:stretch>
                  </pic:blipFill>
                  <pic:spPr bwMode="auto">
                    <a:xfrm>
                      <a:off x="0" y="0"/>
                      <a:ext cx="2171700" cy="848995"/>
                    </a:xfrm>
                    <a:prstGeom prst="rect">
                      <a:avLst/>
                    </a:prstGeom>
                    <a:noFill/>
                    <a:ln w="9525">
                      <a:noFill/>
                      <a:miter lim="800000"/>
                      <a:headEnd/>
                      <a:tailEnd/>
                    </a:ln>
                  </pic:spPr>
                </pic:pic>
              </a:graphicData>
            </a:graphic>
          </wp:anchor>
        </w:drawing>
      </w:r>
    </w:p>
    <w:p w:rsidR="00C203DD" w:rsidRPr="00783F5D" w:rsidRDefault="00C203DD">
      <w:pPr>
        <w:pStyle w:val="Header"/>
        <w:tabs>
          <w:tab w:val="clear" w:pos="4536"/>
          <w:tab w:val="clear" w:pos="9072"/>
        </w:tabs>
        <w:rPr>
          <w:b/>
          <w:sz w:val="32"/>
        </w:rPr>
      </w:pPr>
    </w:p>
    <w:p w:rsidR="0009747F" w:rsidRPr="00783F5D" w:rsidRDefault="0009747F">
      <w:pPr>
        <w:pStyle w:val="Header"/>
        <w:tabs>
          <w:tab w:val="clear" w:pos="4536"/>
          <w:tab w:val="clear" w:pos="9072"/>
        </w:tabs>
        <w:rPr>
          <w:b/>
          <w:sz w:val="32"/>
        </w:rPr>
      </w:pPr>
    </w:p>
    <w:p w:rsidR="00AF2BBF" w:rsidRPr="00783F5D" w:rsidRDefault="00AF2BBF">
      <w:pPr>
        <w:pStyle w:val="Header"/>
        <w:tabs>
          <w:tab w:val="clear" w:pos="4536"/>
          <w:tab w:val="clear" w:pos="9072"/>
        </w:tabs>
        <w:rPr>
          <w:b/>
          <w:sz w:val="32"/>
        </w:rPr>
      </w:pPr>
    </w:p>
    <w:p w:rsidR="003A22BC" w:rsidRDefault="003A22BC" w:rsidP="00F409B2">
      <w:pPr>
        <w:pStyle w:val="Header"/>
        <w:tabs>
          <w:tab w:val="clear" w:pos="4536"/>
          <w:tab w:val="clear" w:pos="9072"/>
          <w:tab w:val="right" w:pos="9000"/>
        </w:tabs>
        <w:rPr>
          <w:b/>
          <w:bCs/>
          <w:sz w:val="24"/>
          <w:szCs w:val="24"/>
        </w:rPr>
      </w:pPr>
    </w:p>
    <w:p w:rsidR="004D0478" w:rsidRPr="00783F5D" w:rsidRDefault="004D0478" w:rsidP="00F409B2">
      <w:pPr>
        <w:pStyle w:val="Header"/>
        <w:tabs>
          <w:tab w:val="clear" w:pos="4536"/>
          <w:tab w:val="clear" w:pos="9072"/>
          <w:tab w:val="right" w:pos="9000"/>
        </w:tabs>
        <w:rPr>
          <w:b/>
          <w:snapToGrid w:val="0"/>
          <w:color w:val="000000"/>
          <w:sz w:val="24"/>
        </w:rPr>
      </w:pPr>
      <w:r w:rsidRPr="00783F5D">
        <w:rPr>
          <w:b/>
          <w:bCs/>
          <w:sz w:val="24"/>
          <w:szCs w:val="24"/>
        </w:rPr>
        <w:t>Press Release</w:t>
      </w:r>
      <w:r w:rsidR="000F1556" w:rsidRPr="00783F5D">
        <w:rPr>
          <w:b/>
          <w:bCs/>
          <w:sz w:val="24"/>
          <w:szCs w:val="24"/>
        </w:rPr>
        <w:tab/>
      </w:r>
      <w:r w:rsidR="004F7E21" w:rsidRPr="00783F5D">
        <w:rPr>
          <w:b/>
          <w:bCs/>
          <w:sz w:val="24"/>
          <w:szCs w:val="24"/>
        </w:rPr>
        <w:t xml:space="preserve">London, </w:t>
      </w:r>
      <w:r w:rsidR="003E02F0" w:rsidRPr="00783F5D">
        <w:rPr>
          <w:b/>
          <w:snapToGrid w:val="0"/>
          <w:color w:val="000000"/>
          <w:sz w:val="24"/>
        </w:rPr>
        <w:t xml:space="preserve">Nice, </w:t>
      </w:r>
      <w:r w:rsidR="00211CD6" w:rsidRPr="00783F5D">
        <w:rPr>
          <w:b/>
          <w:snapToGrid w:val="0"/>
          <w:color w:val="000000"/>
          <w:sz w:val="24"/>
        </w:rPr>
        <w:t xml:space="preserve">Paris, </w:t>
      </w:r>
      <w:r w:rsidR="004F7E21" w:rsidRPr="00783F5D">
        <w:rPr>
          <w:b/>
          <w:snapToGrid w:val="0"/>
          <w:color w:val="000000"/>
          <w:sz w:val="24"/>
        </w:rPr>
        <w:t xml:space="preserve">Singapore, </w:t>
      </w:r>
      <w:r w:rsidR="00275FBA" w:rsidRPr="00783F5D">
        <w:rPr>
          <w:b/>
          <w:snapToGrid w:val="0"/>
          <w:color w:val="000000"/>
          <w:sz w:val="24"/>
        </w:rPr>
        <w:t xml:space="preserve">March </w:t>
      </w:r>
      <w:r w:rsidR="007B65F7">
        <w:rPr>
          <w:b/>
          <w:snapToGrid w:val="0"/>
          <w:color w:val="000000"/>
          <w:sz w:val="24"/>
        </w:rPr>
        <w:t>16</w:t>
      </w:r>
      <w:r w:rsidR="00D975ED" w:rsidRPr="00783F5D">
        <w:rPr>
          <w:b/>
          <w:snapToGrid w:val="0"/>
          <w:color w:val="000000"/>
          <w:sz w:val="24"/>
        </w:rPr>
        <w:t>,</w:t>
      </w:r>
      <w:r w:rsidR="004540A3" w:rsidRPr="00783F5D">
        <w:rPr>
          <w:b/>
          <w:snapToGrid w:val="0"/>
          <w:color w:val="000000"/>
          <w:sz w:val="24"/>
        </w:rPr>
        <w:t xml:space="preserve"> 20</w:t>
      </w:r>
      <w:r w:rsidR="00A76864" w:rsidRPr="00783F5D">
        <w:rPr>
          <w:b/>
          <w:snapToGrid w:val="0"/>
          <w:color w:val="000000"/>
          <w:sz w:val="24"/>
        </w:rPr>
        <w:t>1</w:t>
      </w:r>
      <w:r w:rsidR="00035D5B" w:rsidRPr="00783F5D">
        <w:rPr>
          <w:b/>
          <w:snapToGrid w:val="0"/>
          <w:color w:val="000000"/>
          <w:sz w:val="24"/>
        </w:rPr>
        <w:t>6</w:t>
      </w:r>
    </w:p>
    <w:p w:rsidR="00AE5609" w:rsidRPr="00252F83" w:rsidRDefault="00AE5609" w:rsidP="00AE5609">
      <w:pPr>
        <w:autoSpaceDE w:val="0"/>
        <w:autoSpaceDN w:val="0"/>
        <w:adjustRightInd w:val="0"/>
        <w:spacing w:line="260" w:lineRule="atLeast"/>
        <w:rPr>
          <w:color w:val="000000"/>
          <w:sz w:val="22"/>
          <w:szCs w:val="22"/>
        </w:rPr>
      </w:pPr>
    </w:p>
    <w:p w:rsidR="003A22BC" w:rsidRPr="00252F83" w:rsidRDefault="003A22BC" w:rsidP="00F40D60">
      <w:pPr>
        <w:spacing w:before="240" w:after="240" w:line="380" w:lineRule="exact"/>
        <w:jc w:val="center"/>
        <w:rPr>
          <w:b/>
          <w:sz w:val="22"/>
          <w:szCs w:val="22"/>
        </w:rPr>
      </w:pPr>
    </w:p>
    <w:p w:rsidR="00F40D60" w:rsidRPr="003A22BC" w:rsidRDefault="00F40D60" w:rsidP="00F40D60">
      <w:pPr>
        <w:spacing w:before="240" w:after="240" w:line="380" w:lineRule="exact"/>
        <w:jc w:val="center"/>
        <w:rPr>
          <w:b/>
          <w:sz w:val="36"/>
          <w:szCs w:val="36"/>
        </w:rPr>
      </w:pPr>
      <w:r w:rsidRPr="00783F5D">
        <w:rPr>
          <w:b/>
          <w:sz w:val="34"/>
          <w:szCs w:val="34"/>
        </w:rPr>
        <w:t>EDHEC-Risk</w:t>
      </w:r>
      <w:r w:rsidRPr="00783F5D">
        <w:rPr>
          <w:b/>
          <w:bCs/>
          <w:color w:val="000000"/>
          <w:sz w:val="34"/>
          <w:szCs w:val="34"/>
        </w:rPr>
        <w:t xml:space="preserve">’s annual European ETF Survey </w:t>
      </w:r>
      <w:r w:rsidR="00CF111D" w:rsidRPr="00783F5D">
        <w:rPr>
          <w:b/>
          <w:bCs/>
          <w:color w:val="000000"/>
          <w:sz w:val="34"/>
          <w:szCs w:val="34"/>
        </w:rPr>
        <w:t xml:space="preserve">sheds new light on drivers of investor demand for ETFs </w:t>
      </w:r>
      <w:r w:rsidR="00DE2760" w:rsidRPr="00783F5D">
        <w:rPr>
          <w:b/>
          <w:bCs/>
          <w:color w:val="000000"/>
          <w:sz w:val="34"/>
          <w:szCs w:val="34"/>
        </w:rPr>
        <w:t>and evaluation challenges for investors</w:t>
      </w:r>
      <w:r w:rsidR="00414925" w:rsidRPr="00783F5D">
        <w:rPr>
          <w:b/>
          <w:bCs/>
          <w:color w:val="000000"/>
          <w:sz w:val="34"/>
          <w:szCs w:val="34"/>
        </w:rPr>
        <w:br/>
      </w:r>
    </w:p>
    <w:p w:rsidR="00F40D60" w:rsidRPr="00783F5D" w:rsidRDefault="00F40D60" w:rsidP="00F40D60">
      <w:pPr>
        <w:spacing w:line="280" w:lineRule="atLeast"/>
        <w:jc w:val="both"/>
        <w:rPr>
          <w:sz w:val="22"/>
          <w:szCs w:val="22"/>
          <w:lang w:eastAsia="de-DE"/>
        </w:rPr>
      </w:pPr>
      <w:r w:rsidRPr="00783F5D">
        <w:rPr>
          <w:sz w:val="22"/>
          <w:szCs w:val="22"/>
          <w:lang w:eastAsia="de-DE"/>
        </w:rPr>
        <w:t xml:space="preserve">EDHEC-Risk Institute has announced the results </w:t>
      </w:r>
      <w:r w:rsidR="0071686D" w:rsidRPr="00783F5D">
        <w:rPr>
          <w:sz w:val="22"/>
          <w:szCs w:val="22"/>
          <w:lang w:eastAsia="de-DE"/>
        </w:rPr>
        <w:t>of</w:t>
      </w:r>
      <w:r w:rsidRPr="00783F5D">
        <w:rPr>
          <w:sz w:val="22"/>
          <w:szCs w:val="22"/>
          <w:lang w:eastAsia="de-DE"/>
        </w:rPr>
        <w:t xml:space="preserve"> </w:t>
      </w:r>
      <w:r w:rsidR="0097121A">
        <w:rPr>
          <w:sz w:val="22"/>
          <w:szCs w:val="22"/>
          <w:lang w:eastAsia="de-DE"/>
        </w:rPr>
        <w:t xml:space="preserve">the </w:t>
      </w:r>
      <w:r w:rsidRPr="00783F5D">
        <w:rPr>
          <w:sz w:val="22"/>
          <w:szCs w:val="22"/>
          <w:lang w:eastAsia="de-DE"/>
        </w:rPr>
        <w:t>EDHEC European ETF Survey 201</w:t>
      </w:r>
      <w:r w:rsidR="0071686D" w:rsidRPr="00783F5D">
        <w:rPr>
          <w:sz w:val="22"/>
          <w:szCs w:val="22"/>
          <w:lang w:eastAsia="de-DE"/>
        </w:rPr>
        <w:t>5</w:t>
      </w:r>
      <w:r w:rsidRPr="00783F5D">
        <w:rPr>
          <w:sz w:val="22"/>
          <w:szCs w:val="22"/>
          <w:lang w:eastAsia="de-DE"/>
        </w:rPr>
        <w:t xml:space="preserve">, a comprehensive survey of </w:t>
      </w:r>
      <w:r w:rsidR="0071686D" w:rsidRPr="00783F5D">
        <w:rPr>
          <w:sz w:val="22"/>
          <w:szCs w:val="22"/>
          <w:lang w:eastAsia="de-DE"/>
        </w:rPr>
        <w:t>180</w:t>
      </w:r>
      <w:r w:rsidRPr="00783F5D">
        <w:rPr>
          <w:sz w:val="22"/>
          <w:szCs w:val="22"/>
          <w:lang w:eastAsia="de-DE"/>
        </w:rPr>
        <w:t xml:space="preserve"> European ETF investors</w:t>
      </w:r>
      <w:r w:rsidR="00E97CC9" w:rsidRPr="00783F5D">
        <w:rPr>
          <w:sz w:val="22"/>
          <w:szCs w:val="22"/>
          <w:lang w:eastAsia="de-DE"/>
        </w:rPr>
        <w:t>,</w:t>
      </w:r>
      <w:r w:rsidRPr="00783F5D">
        <w:rPr>
          <w:sz w:val="22"/>
          <w:szCs w:val="22"/>
          <w:lang w:eastAsia="de-DE"/>
        </w:rPr>
        <w:t xml:space="preserve"> conducted as part of the Amundi ETF</w:t>
      </w:r>
      <w:r w:rsidR="00640DBA">
        <w:rPr>
          <w:sz w:val="22"/>
          <w:szCs w:val="22"/>
          <w:lang w:eastAsia="de-DE"/>
        </w:rPr>
        <w:t>,</w:t>
      </w:r>
      <w:r w:rsidR="00F02EC0" w:rsidRPr="00783F5D">
        <w:rPr>
          <w:sz w:val="22"/>
          <w:szCs w:val="22"/>
          <w:lang w:eastAsia="de-DE"/>
        </w:rPr>
        <w:t xml:space="preserve"> Indexing</w:t>
      </w:r>
      <w:r w:rsidR="00640DBA">
        <w:rPr>
          <w:sz w:val="22"/>
          <w:szCs w:val="22"/>
          <w:lang w:eastAsia="de-DE"/>
        </w:rPr>
        <w:t xml:space="preserve"> &amp; Smart Beta</w:t>
      </w:r>
      <w:r w:rsidR="00F02EC0" w:rsidRPr="00783F5D">
        <w:rPr>
          <w:sz w:val="22"/>
          <w:szCs w:val="22"/>
          <w:lang w:eastAsia="de-DE"/>
        </w:rPr>
        <w:t xml:space="preserve"> </w:t>
      </w:r>
      <w:r w:rsidRPr="00783F5D">
        <w:rPr>
          <w:sz w:val="22"/>
          <w:szCs w:val="22"/>
          <w:lang w:eastAsia="de-DE"/>
        </w:rPr>
        <w:t>research chair at EDHEC-Risk Institute on “</w:t>
      </w:r>
      <w:r w:rsidR="00DC0CCF" w:rsidRPr="00783F5D">
        <w:rPr>
          <w:sz w:val="22"/>
          <w:szCs w:val="22"/>
          <w:lang w:eastAsia="de-DE"/>
        </w:rPr>
        <w:t>ETF and Passive Investment Strategies</w:t>
      </w:r>
      <w:r w:rsidRPr="00783F5D">
        <w:rPr>
          <w:sz w:val="22"/>
          <w:szCs w:val="22"/>
          <w:lang w:eastAsia="de-DE"/>
        </w:rPr>
        <w:t>”</w:t>
      </w:r>
      <w:r w:rsidR="00E97CC9" w:rsidRPr="00783F5D">
        <w:rPr>
          <w:sz w:val="22"/>
          <w:szCs w:val="22"/>
          <w:lang w:eastAsia="de-DE"/>
        </w:rPr>
        <w:t xml:space="preserve">. EDHEC-Risk Institute </w:t>
      </w:r>
      <w:r w:rsidR="00F13F7F">
        <w:rPr>
          <w:sz w:val="22"/>
          <w:szCs w:val="22"/>
          <w:lang w:eastAsia="de-DE"/>
        </w:rPr>
        <w:t>has</w:t>
      </w:r>
      <w:r w:rsidR="0097121A">
        <w:rPr>
          <w:sz w:val="22"/>
          <w:szCs w:val="22"/>
          <w:lang w:eastAsia="de-DE"/>
        </w:rPr>
        <w:t xml:space="preserve"> </w:t>
      </w:r>
      <w:r w:rsidR="00E97CC9" w:rsidRPr="00783F5D">
        <w:rPr>
          <w:sz w:val="22"/>
          <w:szCs w:val="22"/>
          <w:lang w:eastAsia="de-DE"/>
        </w:rPr>
        <w:t>conduct</w:t>
      </w:r>
      <w:r w:rsidR="0097121A">
        <w:rPr>
          <w:sz w:val="22"/>
          <w:szCs w:val="22"/>
          <w:lang w:eastAsia="de-DE"/>
        </w:rPr>
        <w:t>ed</w:t>
      </w:r>
      <w:r w:rsidR="00E97CC9" w:rsidRPr="00783F5D">
        <w:rPr>
          <w:sz w:val="22"/>
          <w:szCs w:val="22"/>
          <w:lang w:eastAsia="de-DE"/>
        </w:rPr>
        <w:t xml:space="preserve"> a regular ETF survey since 2006</w:t>
      </w:r>
      <w:r w:rsidR="0097121A">
        <w:rPr>
          <w:sz w:val="22"/>
          <w:szCs w:val="22"/>
          <w:lang w:eastAsia="de-DE"/>
        </w:rPr>
        <w:t>,</w:t>
      </w:r>
      <w:r w:rsidR="00E97CC9" w:rsidRPr="00783F5D">
        <w:rPr>
          <w:sz w:val="22"/>
          <w:szCs w:val="22"/>
          <w:lang w:eastAsia="de-DE"/>
        </w:rPr>
        <w:t xml:space="preserve"> thus providing </w:t>
      </w:r>
      <w:r w:rsidR="0071686D" w:rsidRPr="00783F5D">
        <w:rPr>
          <w:sz w:val="22"/>
          <w:szCs w:val="22"/>
          <w:lang w:eastAsia="de-DE"/>
        </w:rPr>
        <w:t>a detailed account of the perceptions and practices of European investors in ETFs</w:t>
      </w:r>
      <w:r w:rsidR="00E97CC9" w:rsidRPr="00783F5D">
        <w:rPr>
          <w:sz w:val="22"/>
          <w:szCs w:val="22"/>
          <w:lang w:eastAsia="de-DE"/>
        </w:rPr>
        <w:t xml:space="preserve"> and trends over the past decade</w:t>
      </w:r>
      <w:r w:rsidR="0071686D" w:rsidRPr="00783F5D">
        <w:rPr>
          <w:sz w:val="22"/>
          <w:szCs w:val="22"/>
          <w:lang w:eastAsia="de-DE"/>
        </w:rPr>
        <w:t>.</w:t>
      </w:r>
    </w:p>
    <w:p w:rsidR="00F40D60" w:rsidRPr="00783F5D" w:rsidRDefault="00F40D60" w:rsidP="00F40D60">
      <w:pPr>
        <w:spacing w:line="240" w:lineRule="atLeast"/>
        <w:jc w:val="both"/>
        <w:rPr>
          <w:snapToGrid w:val="0"/>
          <w:color w:val="000000"/>
          <w:sz w:val="22"/>
          <w:szCs w:val="22"/>
        </w:rPr>
      </w:pPr>
    </w:p>
    <w:p w:rsidR="00F40D60" w:rsidRPr="00783F5D" w:rsidRDefault="0097121A" w:rsidP="00F40D60">
      <w:pPr>
        <w:spacing w:line="280" w:lineRule="atLeast"/>
        <w:jc w:val="both"/>
        <w:rPr>
          <w:snapToGrid w:val="0"/>
          <w:color w:val="000000"/>
          <w:sz w:val="22"/>
          <w:szCs w:val="22"/>
        </w:rPr>
      </w:pPr>
      <w:r>
        <w:rPr>
          <w:snapToGrid w:val="0"/>
          <w:color w:val="000000"/>
          <w:sz w:val="22"/>
          <w:szCs w:val="22"/>
        </w:rPr>
        <w:t>K</w:t>
      </w:r>
      <w:r w:rsidR="00F40D60" w:rsidRPr="00783F5D">
        <w:rPr>
          <w:snapToGrid w:val="0"/>
          <w:color w:val="000000"/>
          <w:sz w:val="22"/>
          <w:szCs w:val="22"/>
        </w:rPr>
        <w:t>ey findings of the 201</w:t>
      </w:r>
      <w:r w:rsidR="0071686D" w:rsidRPr="00783F5D">
        <w:rPr>
          <w:snapToGrid w:val="0"/>
          <w:color w:val="000000"/>
          <w:sz w:val="22"/>
          <w:szCs w:val="22"/>
        </w:rPr>
        <w:t>5</w:t>
      </w:r>
      <w:r w:rsidR="00F40D60" w:rsidRPr="00783F5D">
        <w:rPr>
          <w:snapToGrid w:val="0"/>
          <w:color w:val="000000"/>
          <w:sz w:val="22"/>
          <w:szCs w:val="22"/>
        </w:rPr>
        <w:t xml:space="preserve"> survey</w:t>
      </w:r>
      <w:r>
        <w:rPr>
          <w:snapToGrid w:val="0"/>
          <w:color w:val="000000"/>
          <w:sz w:val="22"/>
          <w:szCs w:val="22"/>
        </w:rPr>
        <w:t xml:space="preserve"> included the following</w:t>
      </w:r>
      <w:r w:rsidR="00F40D60" w:rsidRPr="00783F5D">
        <w:rPr>
          <w:snapToGrid w:val="0"/>
          <w:color w:val="000000"/>
          <w:sz w:val="22"/>
          <w:szCs w:val="22"/>
        </w:rPr>
        <w:t>:</w:t>
      </w:r>
    </w:p>
    <w:p w:rsidR="00E123AC" w:rsidRPr="00783F5D" w:rsidRDefault="00E123AC" w:rsidP="00F40D60">
      <w:pPr>
        <w:spacing w:line="280" w:lineRule="atLeast"/>
        <w:jc w:val="both"/>
        <w:rPr>
          <w:snapToGrid w:val="0"/>
          <w:color w:val="000000"/>
          <w:sz w:val="22"/>
          <w:szCs w:val="22"/>
        </w:rPr>
      </w:pPr>
    </w:p>
    <w:p w:rsidR="00DE2760" w:rsidRPr="001E3DCA" w:rsidRDefault="00A956C6" w:rsidP="00F40D60">
      <w:pPr>
        <w:spacing w:line="280" w:lineRule="atLeast"/>
        <w:jc w:val="both"/>
        <w:rPr>
          <w:i/>
          <w:snapToGrid w:val="0"/>
          <w:color w:val="000000"/>
          <w:sz w:val="22"/>
          <w:szCs w:val="22"/>
        </w:rPr>
      </w:pPr>
      <w:r w:rsidRPr="001E3DCA">
        <w:rPr>
          <w:i/>
          <w:snapToGrid w:val="0"/>
          <w:color w:val="000000"/>
          <w:sz w:val="22"/>
          <w:szCs w:val="22"/>
        </w:rPr>
        <w:t>INCREASING APPETITE FOR ETF USAGE</w:t>
      </w:r>
    </w:p>
    <w:p w:rsidR="00DE2760" w:rsidRPr="001E3DCA" w:rsidRDefault="00DE2760" w:rsidP="00F40D60">
      <w:pPr>
        <w:spacing w:line="280" w:lineRule="atLeast"/>
        <w:jc w:val="both"/>
        <w:rPr>
          <w:snapToGrid w:val="0"/>
          <w:color w:val="000000"/>
          <w:sz w:val="22"/>
          <w:szCs w:val="22"/>
        </w:rPr>
      </w:pPr>
    </w:p>
    <w:p w:rsidR="00783F5D" w:rsidRPr="001E3DCA" w:rsidRDefault="00A956C6" w:rsidP="00BD144F">
      <w:pPr>
        <w:pStyle w:val="ListParagraph"/>
        <w:numPr>
          <w:ilvl w:val="0"/>
          <w:numId w:val="21"/>
        </w:numPr>
        <w:tabs>
          <w:tab w:val="clear" w:pos="709"/>
        </w:tabs>
        <w:spacing w:after="200" w:line="276" w:lineRule="auto"/>
        <w:rPr>
          <w:rFonts w:ascii="Times New Roman" w:eastAsia="Times New Roman" w:hAnsi="Times New Roman" w:cs="Times New Roman"/>
          <w:lang w:eastAsia="de-DE"/>
        </w:rPr>
      </w:pPr>
      <w:r w:rsidRPr="001E3DCA">
        <w:rPr>
          <w:rFonts w:ascii="Times New Roman" w:eastAsia="Times New Roman" w:hAnsi="Times New Roman" w:cs="Times New Roman"/>
          <w:lang w:eastAsia="de-DE"/>
        </w:rPr>
        <w:t>ETFs make up an increasing proportion of portfolio holdings across asset classes</w:t>
      </w:r>
    </w:p>
    <w:p w:rsidR="00783F5D" w:rsidRPr="001E3DCA" w:rsidRDefault="00783F5D" w:rsidP="00783F5D">
      <w:pPr>
        <w:pStyle w:val="ListParagraph"/>
        <w:numPr>
          <w:ilvl w:val="0"/>
          <w:numId w:val="21"/>
        </w:numPr>
        <w:spacing w:after="0" w:line="280" w:lineRule="atLeast"/>
        <w:rPr>
          <w:rFonts w:ascii="Times New Roman" w:hAnsi="Times New Roman" w:cs="Times New Roman"/>
          <w:lang w:eastAsia="de-DE"/>
        </w:rPr>
      </w:pPr>
      <w:r w:rsidRPr="001E3DCA">
        <w:rPr>
          <w:rFonts w:ascii="Times New Roman" w:hAnsi="Times New Roman" w:cs="Times New Roman"/>
          <w:snapToGrid w:val="0"/>
          <w:color w:val="000000"/>
          <w:lang w:eastAsia="fr-FR"/>
        </w:rPr>
        <w:t xml:space="preserve">Satisfaction has remained at high levels especially for traditional asset classes </w:t>
      </w:r>
      <w:r w:rsidRPr="001E3DCA">
        <w:rPr>
          <w:rFonts w:ascii="Times New Roman" w:hAnsi="Times New Roman" w:cs="Times New Roman"/>
          <w:b/>
          <w:snapToGrid w:val="0"/>
          <w:color w:val="000000"/>
          <w:lang w:eastAsia="fr-FR"/>
        </w:rPr>
        <w:t>with a</w:t>
      </w:r>
      <w:r w:rsidRPr="001E3DCA">
        <w:rPr>
          <w:rFonts w:ascii="Times New Roman" w:hAnsi="Times New Roman" w:cs="Times New Roman"/>
          <w:b/>
          <w:lang w:eastAsia="de-DE"/>
        </w:rPr>
        <w:t xml:space="preserve"> significant increase in satisfaction with equity ETFs, which now </w:t>
      </w:r>
      <w:r w:rsidR="00946F96" w:rsidRPr="001E3DCA">
        <w:rPr>
          <w:rFonts w:ascii="Times New Roman" w:hAnsi="Times New Roman" w:cs="Times New Roman"/>
          <w:b/>
          <w:lang w:eastAsia="de-DE"/>
        </w:rPr>
        <w:t>enjoy</w:t>
      </w:r>
      <w:r w:rsidRPr="001E3DCA">
        <w:rPr>
          <w:rFonts w:ascii="Times New Roman" w:hAnsi="Times New Roman" w:cs="Times New Roman"/>
          <w:b/>
          <w:lang w:eastAsia="de-DE"/>
        </w:rPr>
        <w:t xml:space="preserve"> a satisfaction rate of 98%, compared to 91% in 2014</w:t>
      </w:r>
      <w:r w:rsidRPr="001E3DCA">
        <w:rPr>
          <w:rFonts w:ascii="Times New Roman" w:hAnsi="Times New Roman" w:cs="Times New Roman"/>
          <w:lang w:eastAsia="de-DE"/>
        </w:rPr>
        <w:t xml:space="preserve">. </w:t>
      </w:r>
      <w:r w:rsidR="00946F96" w:rsidRPr="001E3DCA">
        <w:rPr>
          <w:rFonts w:ascii="Times New Roman" w:hAnsi="Times New Roman" w:cs="Times New Roman"/>
          <w:lang w:eastAsia="de-DE"/>
        </w:rPr>
        <w:t>The s</w:t>
      </w:r>
      <w:r w:rsidRPr="001E3DCA">
        <w:rPr>
          <w:rFonts w:ascii="Times New Roman" w:hAnsi="Times New Roman" w:cs="Times New Roman"/>
          <w:lang w:eastAsia="de-DE"/>
        </w:rPr>
        <w:t xml:space="preserve">atisfaction rates for ETFs based on the most liquid asset classes are far more consistent compared to those based on illiquid asset classes </w:t>
      </w:r>
    </w:p>
    <w:p w:rsidR="00DE2760" w:rsidRPr="001E3DCA" w:rsidRDefault="00DE2760" w:rsidP="00DE2760">
      <w:pPr>
        <w:pStyle w:val="ListParagraph"/>
        <w:numPr>
          <w:ilvl w:val="0"/>
          <w:numId w:val="21"/>
        </w:numPr>
        <w:tabs>
          <w:tab w:val="clear" w:pos="709"/>
        </w:tabs>
        <w:spacing w:after="200" w:line="276" w:lineRule="auto"/>
        <w:rPr>
          <w:rFonts w:ascii="Times New Roman" w:hAnsi="Times New Roman" w:cs="Times New Roman"/>
          <w:b/>
        </w:rPr>
      </w:pPr>
      <w:r w:rsidRPr="001E3DCA">
        <w:rPr>
          <w:rFonts w:ascii="Times New Roman" w:hAnsi="Times New Roman" w:cs="Times New Roman"/>
          <w:b/>
        </w:rPr>
        <w:t>Investors recognise the high quality of ETFs when compared to competing indexing vehicles</w:t>
      </w:r>
    </w:p>
    <w:p w:rsidR="00E34B64" w:rsidRPr="0031268D" w:rsidRDefault="00E13561" w:rsidP="00E34B64">
      <w:pPr>
        <w:pStyle w:val="ListParagraph"/>
        <w:numPr>
          <w:ilvl w:val="0"/>
          <w:numId w:val="21"/>
        </w:numPr>
        <w:tabs>
          <w:tab w:val="clear" w:pos="709"/>
        </w:tabs>
        <w:autoSpaceDE w:val="0"/>
        <w:autoSpaceDN w:val="0"/>
        <w:spacing w:after="0" w:line="240" w:lineRule="auto"/>
        <w:contextualSpacing w:val="0"/>
        <w:jc w:val="left"/>
        <w:rPr>
          <w:rFonts w:ascii="Times New Roman" w:hAnsi="Times New Roman" w:cs="Times New Roman"/>
          <w:lang w:eastAsia="zh-CN"/>
        </w:rPr>
      </w:pPr>
      <w:r w:rsidRPr="0031268D">
        <w:rPr>
          <w:rFonts w:ascii="Times New Roman" w:hAnsi="Times New Roman" w:cs="Times New Roman"/>
        </w:rPr>
        <w:t xml:space="preserve">Investors </w:t>
      </w:r>
      <w:r w:rsidR="001E3DCA" w:rsidRPr="0031268D">
        <w:rPr>
          <w:rFonts w:ascii="Times New Roman" w:hAnsi="Times New Roman" w:cs="Times New Roman"/>
        </w:rPr>
        <w:t xml:space="preserve">have </w:t>
      </w:r>
      <w:r w:rsidR="009B0845" w:rsidRPr="0031268D">
        <w:rPr>
          <w:rFonts w:ascii="Times New Roman" w:hAnsi="Times New Roman" w:cs="Times New Roman"/>
        </w:rPr>
        <w:t>increase</w:t>
      </w:r>
      <w:r w:rsidR="001E3DCA" w:rsidRPr="0031268D">
        <w:rPr>
          <w:rFonts w:ascii="Times New Roman" w:hAnsi="Times New Roman" w:cs="Times New Roman"/>
        </w:rPr>
        <w:t>d</w:t>
      </w:r>
      <w:r w:rsidR="009B0845" w:rsidRPr="0031268D">
        <w:rPr>
          <w:rFonts w:ascii="Times New Roman" w:hAnsi="Times New Roman" w:cs="Times New Roman"/>
        </w:rPr>
        <w:t xml:space="preserve"> </w:t>
      </w:r>
      <w:r w:rsidRPr="0031268D">
        <w:rPr>
          <w:rFonts w:ascii="Times New Roman" w:hAnsi="Times New Roman" w:cs="Times New Roman"/>
        </w:rPr>
        <w:t>their</w:t>
      </w:r>
      <w:r w:rsidR="00E34B64" w:rsidRPr="0031268D">
        <w:rPr>
          <w:rFonts w:ascii="Times New Roman" w:hAnsi="Times New Roman" w:cs="Times New Roman"/>
        </w:rPr>
        <w:t xml:space="preserve"> use of ETFs to invest in smart beta</w:t>
      </w:r>
      <w:r w:rsidRPr="0031268D">
        <w:rPr>
          <w:rFonts w:ascii="Times New Roman" w:hAnsi="Times New Roman" w:cs="Times New Roman"/>
        </w:rPr>
        <w:t xml:space="preserve">, </w:t>
      </w:r>
      <w:r w:rsidR="001E3DCA" w:rsidRPr="0031268D">
        <w:rPr>
          <w:rFonts w:ascii="Times New Roman" w:hAnsi="Times New Roman" w:cs="Times New Roman"/>
        </w:rPr>
        <w:t xml:space="preserve">with </w:t>
      </w:r>
      <w:r w:rsidRPr="0031268D">
        <w:rPr>
          <w:rFonts w:ascii="Times New Roman" w:hAnsi="Times New Roman" w:cs="Times New Roman"/>
        </w:rPr>
        <w:t>the proportion reaching</w:t>
      </w:r>
      <w:r w:rsidR="00E34B64" w:rsidRPr="0031268D">
        <w:rPr>
          <w:rFonts w:ascii="Times New Roman" w:hAnsi="Times New Roman" w:cs="Times New Roman"/>
        </w:rPr>
        <w:t xml:space="preserve"> 68% of respondents in 2015 compared to 49% in 2014. ETFs based on smart beta indices represent the top </w:t>
      </w:r>
      <w:r w:rsidR="001E3DCA" w:rsidRPr="0031268D">
        <w:rPr>
          <w:rFonts w:ascii="Times New Roman" w:hAnsi="Times New Roman" w:cs="Times New Roman"/>
        </w:rPr>
        <w:t>concern</w:t>
      </w:r>
      <w:r w:rsidR="00E34B64" w:rsidRPr="0031268D">
        <w:rPr>
          <w:rFonts w:ascii="Times New Roman" w:hAnsi="Times New Roman" w:cs="Times New Roman"/>
        </w:rPr>
        <w:t xml:space="preserve"> of respondents when it comes to future developments, with 38% of them hoping for further developments in this area</w:t>
      </w:r>
    </w:p>
    <w:p w:rsidR="00946F96" w:rsidRPr="001E3DCA" w:rsidRDefault="00946F96" w:rsidP="00BC6E06">
      <w:pPr>
        <w:spacing w:line="280" w:lineRule="atLeast"/>
        <w:jc w:val="both"/>
        <w:rPr>
          <w:i/>
          <w:snapToGrid w:val="0"/>
          <w:color w:val="000000"/>
          <w:sz w:val="22"/>
          <w:szCs w:val="22"/>
        </w:rPr>
      </w:pPr>
    </w:p>
    <w:p w:rsidR="00BC6E06" w:rsidRPr="001E3DCA" w:rsidRDefault="00A956C6" w:rsidP="00BC6E06">
      <w:pPr>
        <w:spacing w:line="280" w:lineRule="atLeast"/>
        <w:jc w:val="both"/>
        <w:rPr>
          <w:i/>
          <w:snapToGrid w:val="0"/>
          <w:color w:val="000000"/>
          <w:sz w:val="22"/>
          <w:szCs w:val="22"/>
        </w:rPr>
      </w:pPr>
      <w:r w:rsidRPr="001E3DCA">
        <w:rPr>
          <w:i/>
          <w:snapToGrid w:val="0"/>
          <w:color w:val="000000"/>
          <w:sz w:val="22"/>
          <w:szCs w:val="22"/>
        </w:rPr>
        <w:t>DRIVERS FOR ETF DEMAND</w:t>
      </w:r>
    </w:p>
    <w:p w:rsidR="00DE2760" w:rsidRPr="001E3DCA" w:rsidRDefault="00DE2760" w:rsidP="00BC6E06">
      <w:pPr>
        <w:spacing w:line="280" w:lineRule="atLeast"/>
        <w:jc w:val="both"/>
        <w:rPr>
          <w:snapToGrid w:val="0"/>
          <w:color w:val="000000"/>
          <w:sz w:val="22"/>
          <w:szCs w:val="22"/>
        </w:rPr>
      </w:pPr>
    </w:p>
    <w:p w:rsidR="00F17C9B" w:rsidRPr="001E3DCA" w:rsidRDefault="00A956C6" w:rsidP="00783F5D">
      <w:pPr>
        <w:pStyle w:val="ListParagraph"/>
        <w:numPr>
          <w:ilvl w:val="0"/>
          <w:numId w:val="21"/>
        </w:numPr>
        <w:tabs>
          <w:tab w:val="clear" w:pos="709"/>
        </w:tabs>
        <w:spacing w:after="200" w:line="276" w:lineRule="auto"/>
        <w:rPr>
          <w:rFonts w:ascii="Times New Roman" w:eastAsia="Times New Roman" w:hAnsi="Times New Roman" w:cs="Times New Roman"/>
          <w:lang w:eastAsia="de-DE"/>
        </w:rPr>
      </w:pPr>
      <w:r w:rsidRPr="001E3DCA">
        <w:rPr>
          <w:rFonts w:ascii="Times New Roman" w:eastAsia="Times New Roman" w:hAnsi="Times New Roman" w:cs="Times New Roman"/>
          <w:b/>
          <w:lang w:eastAsia="de-DE"/>
        </w:rPr>
        <w:t>Cost considerations appear to be the main driver behind increasing ETF allocations</w:t>
      </w:r>
      <w:r w:rsidRPr="001E3DCA">
        <w:rPr>
          <w:rFonts w:ascii="Times New Roman" w:eastAsia="Times New Roman" w:hAnsi="Times New Roman" w:cs="Times New Roman"/>
          <w:lang w:eastAsia="de-DE"/>
        </w:rPr>
        <w:t xml:space="preserve">. </w:t>
      </w:r>
      <w:r w:rsidR="001E3DCA">
        <w:rPr>
          <w:rFonts w:ascii="Times New Roman" w:eastAsia="Times New Roman" w:hAnsi="Times New Roman" w:cs="Times New Roman"/>
          <w:lang w:eastAsia="de-DE"/>
        </w:rPr>
        <w:t>This i</w:t>
      </w:r>
      <w:r w:rsidRPr="001E3DCA">
        <w:rPr>
          <w:rFonts w:ascii="Times New Roman" w:eastAsia="Times New Roman" w:hAnsi="Times New Roman" w:cs="Times New Roman"/>
          <w:lang w:eastAsia="de-DE"/>
        </w:rPr>
        <w:t>ncrease is also motivated by performance, transparency and liquidity</w:t>
      </w:r>
      <w:r w:rsidR="00913B08" w:rsidRPr="001E3DCA">
        <w:rPr>
          <w:rFonts w:ascii="Times New Roman" w:eastAsia="Times New Roman" w:hAnsi="Times New Roman" w:cs="Times New Roman"/>
          <w:lang w:eastAsia="de-DE"/>
        </w:rPr>
        <w:t xml:space="preserve"> </w:t>
      </w:r>
    </w:p>
    <w:p w:rsidR="00783F5D" w:rsidRPr="001E3DCA" w:rsidRDefault="00946F96" w:rsidP="00783F5D">
      <w:pPr>
        <w:pStyle w:val="ListParagraph"/>
        <w:numPr>
          <w:ilvl w:val="0"/>
          <w:numId w:val="21"/>
        </w:numPr>
        <w:spacing w:after="0" w:line="280" w:lineRule="atLeast"/>
        <w:rPr>
          <w:rFonts w:ascii="Times New Roman" w:hAnsi="Times New Roman" w:cs="Times New Roman"/>
          <w:snapToGrid w:val="0"/>
          <w:color w:val="000000"/>
        </w:rPr>
      </w:pPr>
      <w:r w:rsidRPr="001E3DCA">
        <w:rPr>
          <w:rFonts w:ascii="Times New Roman" w:hAnsi="Times New Roman" w:cs="Times New Roman"/>
          <w:b/>
          <w:snapToGrid w:val="0"/>
          <w:color w:val="000000"/>
        </w:rPr>
        <w:t xml:space="preserve">75% </w:t>
      </w:r>
      <w:r w:rsidR="00783F5D" w:rsidRPr="001E3DCA">
        <w:rPr>
          <w:rFonts w:ascii="Times New Roman" w:hAnsi="Times New Roman" w:cs="Times New Roman"/>
          <w:b/>
          <w:snapToGrid w:val="0"/>
          <w:color w:val="000000"/>
        </w:rPr>
        <w:t>of respondent</w:t>
      </w:r>
      <w:r w:rsidRPr="001E3DCA">
        <w:rPr>
          <w:rFonts w:ascii="Times New Roman" w:hAnsi="Times New Roman" w:cs="Times New Roman"/>
          <w:b/>
          <w:snapToGrid w:val="0"/>
          <w:color w:val="000000"/>
        </w:rPr>
        <w:t>s</w:t>
      </w:r>
      <w:r w:rsidR="00783F5D" w:rsidRPr="001E3DCA">
        <w:rPr>
          <w:rFonts w:ascii="Times New Roman" w:hAnsi="Times New Roman" w:cs="Times New Roman"/>
          <w:b/>
          <w:snapToGrid w:val="0"/>
          <w:color w:val="000000"/>
        </w:rPr>
        <w:t xml:space="preserve"> think</w:t>
      </w:r>
      <w:r w:rsidR="00783F5D" w:rsidRPr="001E3DCA">
        <w:rPr>
          <w:rFonts w:ascii="Times New Roman" w:hAnsi="Times New Roman" w:cs="Times New Roman"/>
          <w:snapToGrid w:val="0"/>
          <w:color w:val="000000"/>
        </w:rPr>
        <w:t xml:space="preserve"> </w:t>
      </w:r>
      <w:r w:rsidR="00783F5D" w:rsidRPr="001E3DCA">
        <w:rPr>
          <w:rFonts w:ascii="Times New Roman" w:hAnsi="Times New Roman" w:cs="Times New Roman"/>
          <w:b/>
          <w:snapToGrid w:val="0"/>
          <w:color w:val="000000"/>
        </w:rPr>
        <w:t>that smart beta indices provide significant potential to outperform cap-weighted indices in the long term</w:t>
      </w:r>
      <w:r w:rsidR="00783F5D" w:rsidRPr="001E3DCA">
        <w:rPr>
          <w:rFonts w:ascii="Times New Roman" w:hAnsi="Times New Roman" w:cs="Times New Roman"/>
          <w:snapToGrid w:val="0"/>
          <w:color w:val="000000"/>
        </w:rPr>
        <w:t xml:space="preserve"> and more </w:t>
      </w:r>
      <w:r w:rsidR="00984FB8">
        <w:rPr>
          <w:rFonts w:ascii="Times New Roman" w:hAnsi="Times New Roman" w:cs="Times New Roman"/>
          <w:snapToGrid w:val="0"/>
          <w:color w:val="000000"/>
        </w:rPr>
        <w:t xml:space="preserve">than </w:t>
      </w:r>
      <w:r w:rsidRPr="001E3DCA">
        <w:rPr>
          <w:rFonts w:ascii="Times New Roman" w:hAnsi="Times New Roman" w:cs="Times New Roman"/>
          <w:snapToGrid w:val="0"/>
          <w:color w:val="000000"/>
        </w:rPr>
        <w:t xml:space="preserve">81% </w:t>
      </w:r>
      <w:r w:rsidR="00783F5D" w:rsidRPr="001E3DCA">
        <w:rPr>
          <w:rFonts w:ascii="Times New Roman" w:hAnsi="Times New Roman" w:cs="Times New Roman"/>
          <w:snapToGrid w:val="0"/>
          <w:color w:val="000000"/>
        </w:rPr>
        <w:t xml:space="preserve">think that they avoid cap-weighted indices </w:t>
      </w:r>
      <w:r w:rsidRPr="001E3DCA">
        <w:rPr>
          <w:rFonts w:ascii="Times New Roman" w:hAnsi="Times New Roman" w:cs="Times New Roman"/>
          <w:snapToGrid w:val="0"/>
          <w:color w:val="000000"/>
        </w:rPr>
        <w:t>that are</w:t>
      </w:r>
      <w:r w:rsidR="00783F5D" w:rsidRPr="001E3DCA">
        <w:rPr>
          <w:rFonts w:ascii="Times New Roman" w:hAnsi="Times New Roman" w:cs="Times New Roman"/>
          <w:snapToGrid w:val="0"/>
          <w:color w:val="000000"/>
        </w:rPr>
        <w:t xml:space="preserve"> concentrated in very few stocks or sectors </w:t>
      </w:r>
    </w:p>
    <w:p w:rsidR="00DE2760" w:rsidRPr="001E3DCA" w:rsidRDefault="00DE2760" w:rsidP="00BC6E06">
      <w:pPr>
        <w:spacing w:line="280" w:lineRule="atLeast"/>
        <w:jc w:val="both"/>
        <w:rPr>
          <w:snapToGrid w:val="0"/>
          <w:color w:val="000000"/>
          <w:sz w:val="22"/>
          <w:szCs w:val="22"/>
        </w:rPr>
      </w:pPr>
    </w:p>
    <w:p w:rsidR="003A22BC" w:rsidRDefault="003A22BC" w:rsidP="00BC6E06">
      <w:pPr>
        <w:spacing w:line="280" w:lineRule="atLeast"/>
        <w:jc w:val="both"/>
        <w:rPr>
          <w:i/>
          <w:snapToGrid w:val="0"/>
          <w:color w:val="000000"/>
          <w:sz w:val="22"/>
          <w:szCs w:val="22"/>
        </w:rPr>
      </w:pPr>
    </w:p>
    <w:p w:rsidR="003A22BC" w:rsidRDefault="003A22BC" w:rsidP="00BC6E06">
      <w:pPr>
        <w:spacing w:line="280" w:lineRule="atLeast"/>
        <w:jc w:val="both"/>
        <w:rPr>
          <w:i/>
          <w:snapToGrid w:val="0"/>
          <w:color w:val="000000"/>
          <w:sz w:val="22"/>
          <w:szCs w:val="22"/>
        </w:rPr>
      </w:pPr>
    </w:p>
    <w:p w:rsidR="00BC6E06" w:rsidRPr="001E3DCA" w:rsidRDefault="00DE2760" w:rsidP="00BC6E06">
      <w:pPr>
        <w:spacing w:line="280" w:lineRule="atLeast"/>
        <w:jc w:val="both"/>
        <w:rPr>
          <w:i/>
          <w:snapToGrid w:val="0"/>
          <w:color w:val="000000"/>
          <w:sz w:val="22"/>
          <w:szCs w:val="22"/>
        </w:rPr>
      </w:pPr>
      <w:r w:rsidRPr="001E3DCA">
        <w:rPr>
          <w:i/>
          <w:snapToGrid w:val="0"/>
          <w:color w:val="000000"/>
          <w:sz w:val="22"/>
          <w:szCs w:val="22"/>
        </w:rPr>
        <w:lastRenderedPageBreak/>
        <w:t>EVALUATION CHALLENGES</w:t>
      </w:r>
    </w:p>
    <w:p w:rsidR="00DE2760" w:rsidRPr="001E3DCA" w:rsidRDefault="00DE2760" w:rsidP="00BC6E06">
      <w:pPr>
        <w:spacing w:line="280" w:lineRule="atLeast"/>
        <w:jc w:val="both"/>
        <w:rPr>
          <w:snapToGrid w:val="0"/>
          <w:color w:val="000000"/>
          <w:sz w:val="22"/>
          <w:szCs w:val="22"/>
        </w:rPr>
      </w:pPr>
    </w:p>
    <w:p w:rsidR="00783F5D" w:rsidRPr="001E3DCA" w:rsidRDefault="00783F5D" w:rsidP="00783F5D">
      <w:pPr>
        <w:pStyle w:val="ListParagraph"/>
        <w:numPr>
          <w:ilvl w:val="0"/>
          <w:numId w:val="21"/>
        </w:numPr>
        <w:tabs>
          <w:tab w:val="clear" w:pos="709"/>
        </w:tabs>
        <w:spacing w:after="200" w:line="276" w:lineRule="auto"/>
        <w:rPr>
          <w:rFonts w:ascii="Times New Roman" w:eastAsia="Times New Roman" w:hAnsi="Times New Roman" w:cs="Times New Roman"/>
          <w:lang w:eastAsia="de-DE"/>
        </w:rPr>
      </w:pPr>
      <w:r w:rsidRPr="001E3DCA">
        <w:rPr>
          <w:rFonts w:ascii="Times New Roman" w:eastAsia="Times New Roman" w:hAnsi="Times New Roman" w:cs="Times New Roman"/>
          <w:lang w:eastAsia="de-DE"/>
        </w:rPr>
        <w:t xml:space="preserve">A vast majority of </w:t>
      </w:r>
      <w:r w:rsidRPr="001E3DCA">
        <w:rPr>
          <w:rFonts w:ascii="Times New Roman" w:eastAsia="Times New Roman" w:hAnsi="Times New Roman" w:cs="Times New Roman"/>
          <w:b/>
          <w:lang w:eastAsia="de-DE"/>
        </w:rPr>
        <w:t>respondents (94%) agree that smart beta indices require full transparency on methodology and risk analytics.</w:t>
      </w:r>
      <w:r w:rsidRPr="001E3DCA">
        <w:rPr>
          <w:rFonts w:ascii="Times New Roman" w:eastAsia="Times New Roman" w:hAnsi="Times New Roman" w:cs="Times New Roman"/>
          <w:lang w:eastAsia="de-DE"/>
        </w:rPr>
        <w:t xml:space="preserve"> Transparency is not only the best protection against the risks arising from conflicts of interests, but it is also instrumental </w:t>
      </w:r>
      <w:r w:rsidR="000055EB" w:rsidRPr="001E3DCA">
        <w:rPr>
          <w:rFonts w:ascii="Times New Roman" w:eastAsia="Times New Roman" w:hAnsi="Times New Roman" w:cs="Times New Roman"/>
          <w:lang w:eastAsia="de-DE"/>
        </w:rPr>
        <w:t>in</w:t>
      </w:r>
      <w:r w:rsidRPr="001E3DCA">
        <w:rPr>
          <w:rFonts w:ascii="Times New Roman" w:eastAsia="Times New Roman" w:hAnsi="Times New Roman" w:cs="Times New Roman"/>
          <w:lang w:eastAsia="de-DE"/>
        </w:rPr>
        <w:t xml:space="preserve"> improving the informational efficiency of the indexing industry</w:t>
      </w:r>
    </w:p>
    <w:p w:rsidR="00DE2760" w:rsidRPr="001E3DCA" w:rsidRDefault="00DE2760" w:rsidP="00DE2760">
      <w:pPr>
        <w:pStyle w:val="ListParagraph"/>
        <w:numPr>
          <w:ilvl w:val="0"/>
          <w:numId w:val="21"/>
        </w:numPr>
        <w:tabs>
          <w:tab w:val="clear" w:pos="709"/>
        </w:tabs>
        <w:spacing w:after="200" w:line="276" w:lineRule="auto"/>
        <w:rPr>
          <w:rFonts w:ascii="Times New Roman" w:eastAsia="Times New Roman" w:hAnsi="Times New Roman" w:cs="Times New Roman"/>
          <w:b/>
          <w:lang w:eastAsia="de-DE"/>
        </w:rPr>
      </w:pPr>
      <w:r w:rsidRPr="001E3DCA">
        <w:rPr>
          <w:rFonts w:ascii="Times New Roman" w:eastAsia="Times New Roman" w:hAnsi="Times New Roman" w:cs="Times New Roman"/>
          <w:b/>
          <w:lang w:eastAsia="de-DE"/>
        </w:rPr>
        <w:t xml:space="preserve">There is an important gap between investors’ information </w:t>
      </w:r>
      <w:r w:rsidR="00A956C6" w:rsidRPr="001E3DCA">
        <w:rPr>
          <w:rFonts w:ascii="Times New Roman" w:eastAsia="Times New Roman" w:hAnsi="Times New Roman" w:cs="Times New Roman"/>
          <w:b/>
          <w:lang w:eastAsia="de-DE"/>
        </w:rPr>
        <w:t>requirements for smart beta and accessibility of information from providers</w:t>
      </w:r>
    </w:p>
    <w:p w:rsidR="00DE2760" w:rsidRPr="001E3DCA" w:rsidRDefault="00DE2760" w:rsidP="00BC6E06">
      <w:pPr>
        <w:spacing w:line="280" w:lineRule="atLeast"/>
        <w:jc w:val="both"/>
        <w:rPr>
          <w:snapToGrid w:val="0"/>
          <w:color w:val="000000"/>
          <w:sz w:val="22"/>
          <w:szCs w:val="22"/>
        </w:rPr>
      </w:pPr>
    </w:p>
    <w:p w:rsidR="00CF7793" w:rsidRPr="00925D32" w:rsidRDefault="00CF7793" w:rsidP="00925D32">
      <w:pPr>
        <w:jc w:val="both"/>
        <w:rPr>
          <w:snapToGrid w:val="0"/>
          <w:color w:val="000000"/>
          <w:sz w:val="22"/>
          <w:szCs w:val="22"/>
        </w:rPr>
      </w:pPr>
      <w:r w:rsidRPr="00925D32">
        <w:rPr>
          <w:snapToGrid w:val="0"/>
          <w:color w:val="000000"/>
          <w:sz w:val="22"/>
          <w:szCs w:val="22"/>
        </w:rPr>
        <w:t xml:space="preserve">Commenting on the results of the survey, </w:t>
      </w:r>
      <w:proofErr w:type="spellStart"/>
      <w:r w:rsidRPr="00925D32">
        <w:rPr>
          <w:snapToGrid w:val="0"/>
          <w:color w:val="000000"/>
          <w:sz w:val="22"/>
          <w:szCs w:val="22"/>
        </w:rPr>
        <w:t>Valérie</w:t>
      </w:r>
      <w:proofErr w:type="spellEnd"/>
      <w:r w:rsidRPr="00925D32">
        <w:rPr>
          <w:snapToGrid w:val="0"/>
          <w:color w:val="000000"/>
          <w:sz w:val="22"/>
          <w:szCs w:val="22"/>
        </w:rPr>
        <w:t xml:space="preserve"> </w:t>
      </w:r>
      <w:proofErr w:type="spellStart"/>
      <w:r w:rsidRPr="00925D32">
        <w:rPr>
          <w:snapToGrid w:val="0"/>
          <w:color w:val="000000"/>
          <w:sz w:val="22"/>
          <w:szCs w:val="22"/>
        </w:rPr>
        <w:t>Baudson</w:t>
      </w:r>
      <w:proofErr w:type="spellEnd"/>
      <w:r w:rsidRPr="00925D32">
        <w:rPr>
          <w:snapToGrid w:val="0"/>
          <w:color w:val="000000"/>
          <w:sz w:val="22"/>
          <w:szCs w:val="22"/>
        </w:rPr>
        <w:t xml:space="preserve">, CEO </w:t>
      </w:r>
      <w:r w:rsidR="00925D32" w:rsidRPr="00925D32">
        <w:rPr>
          <w:snapToGrid w:val="0"/>
          <w:color w:val="000000"/>
          <w:sz w:val="22"/>
          <w:szCs w:val="22"/>
        </w:rPr>
        <w:t>of</w:t>
      </w:r>
      <w:r w:rsidRPr="00925D32">
        <w:rPr>
          <w:snapToGrid w:val="0"/>
          <w:color w:val="000000"/>
          <w:sz w:val="22"/>
          <w:szCs w:val="22"/>
        </w:rPr>
        <w:t xml:space="preserve"> </w:t>
      </w:r>
      <w:proofErr w:type="spellStart"/>
      <w:r w:rsidRPr="00925D32">
        <w:rPr>
          <w:snapToGrid w:val="0"/>
          <w:color w:val="000000"/>
          <w:sz w:val="22"/>
          <w:szCs w:val="22"/>
        </w:rPr>
        <w:t>Amundi</w:t>
      </w:r>
      <w:proofErr w:type="spellEnd"/>
      <w:r w:rsidRPr="00925D32">
        <w:rPr>
          <w:snapToGrid w:val="0"/>
          <w:color w:val="000000"/>
          <w:sz w:val="22"/>
          <w:szCs w:val="22"/>
        </w:rPr>
        <w:t xml:space="preserve"> ETF, Indexing &amp; Smart Beta, said, “As the No.1 European Asset Manager and a leading ETF provider, we have been developing a broad range of cost-efficient, transparent and innovative ETFs. The </w:t>
      </w:r>
      <w:r w:rsidR="00925D32" w:rsidRPr="00925D32">
        <w:rPr>
          <w:snapToGrid w:val="0"/>
          <w:color w:val="000000"/>
          <w:sz w:val="22"/>
          <w:szCs w:val="22"/>
        </w:rPr>
        <w:t>EDHEC</w:t>
      </w:r>
      <w:r w:rsidRPr="00925D32">
        <w:rPr>
          <w:snapToGrid w:val="0"/>
          <w:color w:val="000000"/>
          <w:sz w:val="22"/>
          <w:szCs w:val="22"/>
        </w:rPr>
        <w:t xml:space="preserve"> Survey findings, highlighting investors’ high satisfaction rate and their expectations around Smart Beta solutions, incite us to keep on enriching our offer and guiding investors further when implementing smart beta strategies in their asset allocation.”</w:t>
      </w:r>
    </w:p>
    <w:p w:rsidR="00CF7793" w:rsidRPr="001E3DCA" w:rsidRDefault="00CF7793" w:rsidP="00D6666B">
      <w:pPr>
        <w:spacing w:line="280" w:lineRule="atLeast"/>
        <w:jc w:val="both"/>
        <w:rPr>
          <w:snapToGrid w:val="0"/>
          <w:color w:val="000000"/>
          <w:sz w:val="22"/>
          <w:szCs w:val="22"/>
        </w:rPr>
      </w:pPr>
    </w:p>
    <w:p w:rsidR="00BD6046" w:rsidRPr="001E3DCA" w:rsidRDefault="00BD6046" w:rsidP="00BD6046">
      <w:pPr>
        <w:spacing w:line="280" w:lineRule="atLeast"/>
        <w:jc w:val="both"/>
        <w:rPr>
          <w:snapToGrid w:val="0"/>
          <w:color w:val="000000"/>
          <w:sz w:val="22"/>
          <w:szCs w:val="22"/>
        </w:rPr>
      </w:pPr>
      <w:r w:rsidRPr="001E3DCA">
        <w:rPr>
          <w:snapToGrid w:val="0"/>
          <w:color w:val="000000"/>
          <w:sz w:val="22"/>
          <w:szCs w:val="22"/>
        </w:rPr>
        <w:t xml:space="preserve">Professor Lionel </w:t>
      </w:r>
      <w:proofErr w:type="spellStart"/>
      <w:r w:rsidRPr="001E3DCA">
        <w:rPr>
          <w:snapToGrid w:val="0"/>
          <w:color w:val="000000"/>
          <w:sz w:val="22"/>
          <w:szCs w:val="22"/>
        </w:rPr>
        <w:t>Martellini</w:t>
      </w:r>
      <w:proofErr w:type="spellEnd"/>
      <w:r w:rsidRPr="001E3DCA">
        <w:rPr>
          <w:snapToGrid w:val="0"/>
          <w:color w:val="000000"/>
          <w:sz w:val="22"/>
          <w:szCs w:val="22"/>
        </w:rPr>
        <w:t>, Director of EDHEC-Risk Institute, added, “This survey confirms the relevance of ETFs in institutional investors’ asset allocation. Smart beta indices appear to be a key growth area for the ETF industry looking forward, with an ever increasing focus on improved transparency and informational efficiency.”</w:t>
      </w:r>
    </w:p>
    <w:p w:rsidR="00BD6046" w:rsidRPr="001E3DCA" w:rsidRDefault="00BD6046" w:rsidP="00D6666B">
      <w:pPr>
        <w:spacing w:line="280" w:lineRule="atLeast"/>
        <w:jc w:val="both"/>
        <w:rPr>
          <w:snapToGrid w:val="0"/>
          <w:color w:val="000000"/>
          <w:sz w:val="22"/>
          <w:szCs w:val="22"/>
        </w:rPr>
      </w:pPr>
    </w:p>
    <w:p w:rsidR="007E2ACB" w:rsidRPr="001E3DCA" w:rsidRDefault="007E2ACB" w:rsidP="00783A46">
      <w:pPr>
        <w:spacing w:line="280" w:lineRule="atLeast"/>
        <w:jc w:val="both"/>
        <w:rPr>
          <w:snapToGrid w:val="0"/>
          <w:color w:val="000000"/>
          <w:sz w:val="22"/>
          <w:szCs w:val="22"/>
        </w:rPr>
      </w:pPr>
    </w:p>
    <w:p w:rsidR="00F40D60" w:rsidRPr="001E3DCA" w:rsidRDefault="00F40D60" w:rsidP="00BC6E06">
      <w:pPr>
        <w:spacing w:line="280" w:lineRule="atLeast"/>
        <w:jc w:val="both"/>
        <w:rPr>
          <w:snapToGrid w:val="0"/>
          <w:color w:val="000000"/>
          <w:sz w:val="22"/>
          <w:szCs w:val="22"/>
        </w:rPr>
      </w:pPr>
      <w:r w:rsidRPr="001E3DCA">
        <w:rPr>
          <w:snapToGrid w:val="0"/>
          <w:color w:val="000000"/>
          <w:sz w:val="22"/>
          <w:szCs w:val="22"/>
        </w:rPr>
        <w:t>A copy of the EDHEC-Risk Institute survey can be found here:</w:t>
      </w:r>
    </w:p>
    <w:p w:rsidR="00BC2CF3" w:rsidRPr="001E3DCA" w:rsidRDefault="00BC2CF3" w:rsidP="00F40D60">
      <w:pPr>
        <w:autoSpaceDE w:val="0"/>
        <w:autoSpaceDN w:val="0"/>
        <w:adjustRightInd w:val="0"/>
        <w:jc w:val="both"/>
        <w:rPr>
          <w:sz w:val="22"/>
          <w:szCs w:val="22"/>
        </w:rPr>
      </w:pPr>
    </w:p>
    <w:p w:rsidR="00BC2CF3" w:rsidRPr="00783F5D" w:rsidRDefault="00FD7905" w:rsidP="00F40D60">
      <w:pPr>
        <w:autoSpaceDE w:val="0"/>
        <w:autoSpaceDN w:val="0"/>
        <w:adjustRightInd w:val="0"/>
        <w:jc w:val="both"/>
        <w:rPr>
          <w:sz w:val="22"/>
          <w:szCs w:val="22"/>
        </w:rPr>
      </w:pPr>
      <w:hyperlink r:id="rId9" w:history="1">
        <w:r w:rsidR="0080531B">
          <w:rPr>
            <w:rStyle w:val="Hyperlink"/>
            <w:sz w:val="22"/>
            <w:szCs w:val="22"/>
          </w:rPr>
          <w:t>EDHEC-Risk European ETF Survey 2015</w:t>
        </w:r>
      </w:hyperlink>
    </w:p>
    <w:p w:rsidR="00F40D60" w:rsidRPr="00783F5D" w:rsidRDefault="00F40D60" w:rsidP="00F40D60">
      <w:pPr>
        <w:spacing w:line="240" w:lineRule="atLeast"/>
        <w:jc w:val="both"/>
        <w:rPr>
          <w:snapToGrid w:val="0"/>
          <w:color w:val="000000"/>
          <w:sz w:val="22"/>
          <w:szCs w:val="22"/>
        </w:rPr>
      </w:pPr>
    </w:p>
    <w:p w:rsidR="00BC5F44" w:rsidRPr="00783F5D" w:rsidRDefault="00FD7905" w:rsidP="00BC5F44">
      <w:pPr>
        <w:autoSpaceDE w:val="0"/>
        <w:autoSpaceDN w:val="0"/>
        <w:adjustRightInd w:val="0"/>
        <w:jc w:val="both"/>
        <w:rPr>
          <w:snapToGrid w:val="0"/>
          <w:color w:val="000000"/>
          <w:sz w:val="22"/>
          <w:szCs w:val="22"/>
        </w:rPr>
      </w:pPr>
      <w:r>
        <w:rPr>
          <w:noProof/>
          <w:color w:val="000000"/>
          <w:sz w:val="22"/>
          <w:szCs w:val="22"/>
          <w:lang w:val="fr-FR" w:eastAsia="zh-CN"/>
        </w:rPr>
        <w:pict>
          <v:group id="Group 30" o:spid="_x0000_s1026" style="position:absolute;left:0;text-align:left;margin-left:0;margin-top:3.1pt;width:459pt;height:75pt;z-index:-251658240"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">
            <v:rect id="Rectangle 31" o:spid="_x0000_s1027" style="position:absolute;left:1418;top:1238;width:91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M8MA&#10;AADaAAAADwAAAGRycy9kb3ducmV2LnhtbESPQWsCMRSE74X+h/AK3mrWVbRsjSKKYA9Cawu9Pjav&#10;u6GblzXJutt/b4SCx2FmvmGW68E24kI+GMcKJuMMBHHptOFKwdfn/vkFRIjIGhvHpOCPAqxXjw9L&#10;LLTr+YMup1iJBOFQoII6xraQMpQ1WQxj1xIn78d5izFJX0ntsU9w28g8y+bSouG0UGNL25rK31Nn&#10;FXSz0i4mxs2/d2Y4nhfT/k37d6VGT8PmFUSkId7D/+2DVpDD7Uq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VM8MAAADaAAAADwAAAAAAAAAAAAAAAACYAgAAZHJzL2Rv&#10;d25yZXYueG1sUEsFBgAAAAAEAAQA9QAAAIgD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edhec logo press release 3" style="position:absolute;left:1595;top:1571;width:1009;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7fmS+AAAA2gAAAA8AAABkcnMvZG93bnJldi54bWxET8uKwjAU3Q/4D+EK7sZUhRmpRpGCIIgw&#10;PnB9aa5NsLkpTaz1783AwCwP571c964WHbXBelYwGWcgiEuvLVcKLuft5xxEiMgaa8+k4EUB1qvB&#10;xxJz7Z98pO4UK5FCOOSowMTY5FKG0pDDMPYNceJuvnUYE2wrqVt8pnBXy2mWfUmHllODwYYKQ+X9&#10;9HBpxvfBVsXxUfzYvTlcz/Out5ubUqNhv1mAiNTHf/Gfe6cVzOD3SvKDXL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q7fmS+AAAA2gAAAA8AAAAAAAAAAAAAAAAAnwIAAGRy&#10;cy9kb3ducmV2LnhtbFBLBQYAAAAABAAEAPcAAACKAwAAAAA=&#10;">
              <v:imagedata r:id="rId10" o:title="edhec logo press release 3"/>
            </v:shape>
          </v:group>
        </w:pict>
      </w:r>
    </w:p>
    <w:p w:rsidR="00BC5F44" w:rsidRPr="00783F5D" w:rsidRDefault="00BC5F44" w:rsidP="00BC5F44">
      <w:pPr>
        <w:tabs>
          <w:tab w:val="left" w:pos="3240"/>
        </w:tabs>
        <w:spacing w:line="260" w:lineRule="exact"/>
        <w:ind w:left="1622"/>
        <w:jc w:val="both"/>
        <w:rPr>
          <w:b/>
          <w:bCs/>
          <w:color w:val="800000"/>
          <w:sz w:val="22"/>
          <w:szCs w:val="22"/>
        </w:rPr>
      </w:pPr>
      <w:r w:rsidRPr="00783F5D">
        <w:rPr>
          <w:b/>
          <w:bCs/>
          <w:color w:val="800000"/>
          <w:sz w:val="22"/>
          <w:szCs w:val="22"/>
        </w:rPr>
        <w:t>Contact:</w:t>
      </w:r>
    </w:p>
    <w:p w:rsidR="00BC5F44" w:rsidRPr="00783F5D" w:rsidRDefault="00BC5F44" w:rsidP="00BC5F44">
      <w:pPr>
        <w:tabs>
          <w:tab w:val="left" w:pos="3240"/>
        </w:tabs>
        <w:spacing w:line="260" w:lineRule="exact"/>
        <w:ind w:left="1620"/>
        <w:jc w:val="both"/>
        <w:rPr>
          <w:b/>
          <w:bCs/>
          <w:sz w:val="22"/>
          <w:szCs w:val="22"/>
        </w:rPr>
      </w:pPr>
      <w:r w:rsidRPr="00783F5D">
        <w:rPr>
          <w:sz w:val="22"/>
          <w:szCs w:val="22"/>
        </w:rPr>
        <w:t xml:space="preserve">For more information, please contact: </w:t>
      </w:r>
      <w:r w:rsidR="00B80E16">
        <w:rPr>
          <w:b/>
          <w:bCs/>
          <w:sz w:val="22"/>
          <w:szCs w:val="22"/>
        </w:rPr>
        <w:t>Carolyn</w:t>
      </w:r>
      <w:r w:rsidR="00B52783">
        <w:rPr>
          <w:b/>
          <w:bCs/>
          <w:sz w:val="22"/>
          <w:szCs w:val="22"/>
        </w:rPr>
        <w:t xml:space="preserve"> </w:t>
      </w:r>
      <w:proofErr w:type="spellStart"/>
      <w:r w:rsidR="00B52783">
        <w:rPr>
          <w:b/>
          <w:bCs/>
          <w:sz w:val="22"/>
          <w:szCs w:val="22"/>
        </w:rPr>
        <w:t>Essid</w:t>
      </w:r>
      <w:proofErr w:type="spellEnd"/>
    </w:p>
    <w:p w:rsidR="00BC5F44" w:rsidRPr="005F1813" w:rsidRDefault="006C6845" w:rsidP="00BC5F44">
      <w:pPr>
        <w:tabs>
          <w:tab w:val="left" w:pos="3240"/>
        </w:tabs>
        <w:spacing w:line="260" w:lineRule="exact"/>
        <w:ind w:left="1620"/>
        <w:jc w:val="both"/>
        <w:rPr>
          <w:sz w:val="22"/>
          <w:szCs w:val="22"/>
          <w:lang w:val="fr-FR"/>
        </w:rPr>
      </w:pPr>
      <w:r w:rsidRPr="005F1813">
        <w:rPr>
          <w:sz w:val="22"/>
          <w:szCs w:val="22"/>
          <w:lang w:val="fr-FR"/>
        </w:rPr>
        <w:t xml:space="preserve">Tel.: </w:t>
      </w:r>
      <w:r w:rsidRPr="005F1813">
        <w:rPr>
          <w:b/>
          <w:bCs/>
          <w:sz w:val="22"/>
          <w:szCs w:val="22"/>
          <w:lang w:val="fr-FR"/>
        </w:rPr>
        <w:t>+33 493 187 8</w:t>
      </w:r>
      <w:r w:rsidR="00B52783">
        <w:rPr>
          <w:b/>
          <w:bCs/>
          <w:sz w:val="22"/>
          <w:szCs w:val="22"/>
          <w:lang w:val="fr-FR"/>
        </w:rPr>
        <w:t>24</w:t>
      </w:r>
      <w:r w:rsidRPr="005F1813">
        <w:rPr>
          <w:sz w:val="22"/>
          <w:szCs w:val="22"/>
          <w:lang w:val="fr-FR"/>
        </w:rPr>
        <w:t xml:space="preserve"> – E-mail: </w:t>
      </w:r>
      <w:hyperlink r:id="rId11" w:history="1">
        <w:r w:rsidR="00B80E16">
          <w:rPr>
            <w:rStyle w:val="Hyperlink"/>
            <w:rFonts w:eastAsia="SimSun"/>
            <w:sz w:val="22"/>
            <w:szCs w:val="22"/>
            <w:lang w:val="fr-FR"/>
          </w:rPr>
          <w:t>carolyn.essid@edhec-risk.com</w:t>
        </w:r>
      </w:hyperlink>
    </w:p>
    <w:p w:rsidR="00BC5F44" w:rsidRPr="00783F5D" w:rsidRDefault="00BC5F44" w:rsidP="00BC5F44">
      <w:pPr>
        <w:tabs>
          <w:tab w:val="left" w:pos="3240"/>
        </w:tabs>
        <w:spacing w:line="260" w:lineRule="exact"/>
        <w:ind w:left="1620"/>
      </w:pPr>
      <w:r w:rsidRPr="00783F5D">
        <w:rPr>
          <w:sz w:val="22"/>
          <w:szCs w:val="22"/>
        </w:rPr>
        <w:t xml:space="preserve">To visit our web site: </w:t>
      </w:r>
      <w:hyperlink r:id="rId12" w:history="1">
        <w:r w:rsidRPr="00783F5D">
          <w:rPr>
            <w:rStyle w:val="Hyperlink"/>
            <w:rFonts w:eastAsia="SimSun"/>
            <w:sz w:val="22"/>
            <w:szCs w:val="22"/>
          </w:rPr>
          <w:t>www.edhec-risk.com</w:t>
        </w:r>
      </w:hyperlink>
    </w:p>
    <w:p w:rsidR="00BC5F44" w:rsidRPr="00783F5D" w:rsidRDefault="00BC5F44" w:rsidP="00F40D60">
      <w:pPr>
        <w:spacing w:line="240" w:lineRule="atLeast"/>
        <w:jc w:val="both"/>
        <w:rPr>
          <w:snapToGrid w:val="0"/>
          <w:color w:val="000000"/>
          <w:sz w:val="22"/>
          <w:szCs w:val="22"/>
        </w:rPr>
      </w:pPr>
    </w:p>
    <w:p w:rsidR="00BC5F44" w:rsidRPr="00783F5D" w:rsidRDefault="00BC5F44" w:rsidP="00F40D60">
      <w:pPr>
        <w:spacing w:line="240" w:lineRule="atLeast"/>
        <w:jc w:val="both"/>
        <w:rPr>
          <w:snapToGrid w:val="0"/>
          <w:color w:val="000000"/>
          <w:sz w:val="22"/>
          <w:szCs w:val="22"/>
          <w:lang w:val="en-US"/>
        </w:rPr>
      </w:pPr>
    </w:p>
    <w:p w:rsidR="00BC5F44" w:rsidRPr="00783F5D" w:rsidRDefault="00BC5F44" w:rsidP="00F40D60">
      <w:pPr>
        <w:spacing w:line="240" w:lineRule="atLeast"/>
        <w:jc w:val="both"/>
        <w:rPr>
          <w:snapToGrid w:val="0"/>
          <w:color w:val="000000"/>
          <w:sz w:val="22"/>
          <w:szCs w:val="22"/>
          <w:lang w:val="en-US"/>
        </w:rPr>
      </w:pPr>
    </w:p>
    <w:p w:rsidR="00BC5F44" w:rsidRPr="00783F5D" w:rsidRDefault="00BC5F44" w:rsidP="00BC5F44">
      <w:pPr>
        <w:spacing w:line="280" w:lineRule="atLeast"/>
        <w:jc w:val="both"/>
        <w:rPr>
          <w:sz w:val="22"/>
          <w:szCs w:val="22"/>
        </w:rPr>
      </w:pPr>
    </w:p>
    <w:p w:rsidR="00035D5B" w:rsidRPr="00783F5D" w:rsidRDefault="00035D5B" w:rsidP="00035D5B">
      <w:pPr>
        <w:spacing w:line="360" w:lineRule="auto"/>
        <w:jc w:val="both"/>
        <w:rPr>
          <w:b/>
          <w:bCs/>
          <w:sz w:val="28"/>
          <w:szCs w:val="28"/>
        </w:rPr>
      </w:pPr>
      <w:r w:rsidRPr="00783F5D">
        <w:rPr>
          <w:b/>
          <w:bCs/>
          <w:sz w:val="28"/>
          <w:szCs w:val="28"/>
        </w:rPr>
        <w:t>About EDHEC-Risk Institute</w:t>
      </w:r>
    </w:p>
    <w:p w:rsidR="00035D5B" w:rsidRPr="00783F5D" w:rsidRDefault="00035D5B" w:rsidP="00035D5B">
      <w:pPr>
        <w:spacing w:line="280" w:lineRule="atLeast"/>
        <w:jc w:val="both"/>
        <w:rPr>
          <w:sz w:val="22"/>
          <w:szCs w:val="22"/>
        </w:rPr>
      </w:pPr>
    </w:p>
    <w:p w:rsidR="00035D5B" w:rsidRPr="00783F5D" w:rsidRDefault="00035D5B" w:rsidP="00035D5B">
      <w:pPr>
        <w:spacing w:line="280" w:lineRule="atLeast"/>
        <w:jc w:val="both"/>
        <w:rPr>
          <w:sz w:val="22"/>
          <w:szCs w:val="22"/>
        </w:rPr>
      </w:pPr>
      <w:r w:rsidRPr="00783F5D">
        <w:rPr>
          <w:sz w:val="22"/>
          <w:szCs w:val="22"/>
        </w:rPr>
        <w:t>Since 2001, EDHEC Business School has been pursuing an ambitious policy in terms of practically relevant academic research. This policy, known as “Research for Business”, aims to make EDHEC an academic institution of reference for the industry in a small number of areas in which the school has reached critical mass in terms of expertise and research results. Among these areas, asset and risk management have occupied privileged positions, leading to the creation in 2001 of EDHEC-Risk Institute, which has developed an ambitious portfolio of research and educational initiatives in the domain of investment solutions for institutional and individual investors.</w:t>
      </w:r>
    </w:p>
    <w:p w:rsidR="00035D5B" w:rsidRPr="00783F5D" w:rsidRDefault="00035D5B" w:rsidP="00035D5B">
      <w:pPr>
        <w:spacing w:line="280" w:lineRule="atLeast"/>
        <w:jc w:val="both"/>
        <w:rPr>
          <w:sz w:val="22"/>
          <w:szCs w:val="22"/>
        </w:rPr>
      </w:pPr>
    </w:p>
    <w:p w:rsidR="00035D5B" w:rsidRPr="00783F5D" w:rsidRDefault="00035D5B" w:rsidP="00035D5B">
      <w:pPr>
        <w:spacing w:line="280" w:lineRule="atLeast"/>
        <w:jc w:val="both"/>
        <w:rPr>
          <w:sz w:val="22"/>
          <w:szCs w:val="22"/>
        </w:rPr>
      </w:pPr>
      <w:r w:rsidRPr="00783F5D">
        <w:rPr>
          <w:sz w:val="22"/>
          <w:szCs w:val="22"/>
        </w:rPr>
        <w:t xml:space="preserve">This institute now boasts a team of close to 50 permanent professors, engineers and support staff, as well as 37 research associates from the financial industry and affiliate professors. EDHEC-Risk Institute is located at campuses in Singapore, which was established at the invitation of the Monetary Authority of Singapore (MAS); the City of London in the United Kingdom; Nice and Paris in France. The philosophy of the institute is to validate its work by publication in prestigious academic journals, but also to make it available to professionals and to participate in industry debate through its position papers, published studies and global conferences. </w:t>
      </w:r>
    </w:p>
    <w:p w:rsidR="00035D5B" w:rsidRPr="00783F5D" w:rsidRDefault="00035D5B" w:rsidP="00035D5B">
      <w:pPr>
        <w:spacing w:line="280" w:lineRule="atLeast"/>
        <w:jc w:val="both"/>
        <w:rPr>
          <w:sz w:val="22"/>
          <w:szCs w:val="22"/>
        </w:rPr>
      </w:pPr>
    </w:p>
    <w:p w:rsidR="00035D5B" w:rsidRPr="00783F5D" w:rsidRDefault="00035D5B" w:rsidP="00035D5B">
      <w:pPr>
        <w:spacing w:line="280" w:lineRule="atLeast"/>
        <w:jc w:val="both"/>
        <w:rPr>
          <w:sz w:val="22"/>
          <w:szCs w:val="22"/>
        </w:rPr>
      </w:pPr>
      <w:r w:rsidRPr="00783F5D">
        <w:rPr>
          <w:sz w:val="22"/>
          <w:szCs w:val="22"/>
        </w:rPr>
        <w:t xml:space="preserve">To ensure the distribution of its research to the industry, EDHEC-Risk also provides professionals with access to its website, </w:t>
      </w:r>
      <w:hyperlink r:id="rId13" w:history="1">
        <w:r w:rsidRPr="00783F5D">
          <w:rPr>
            <w:sz w:val="22"/>
            <w:szCs w:val="22"/>
          </w:rPr>
          <w:t>www.edhec-risk.com</w:t>
        </w:r>
      </w:hyperlink>
      <w:r w:rsidRPr="00783F5D">
        <w:rPr>
          <w:sz w:val="22"/>
          <w:szCs w:val="22"/>
        </w:rPr>
        <w:t>, which is entirely devoted to international risk and asset management research. The website, which has more than 70,000 regular visitors, is aimed at professionals who wish to benefit from EDHEC-Risk’s analysis and expertise in the area of applied portfolio management research. Its quarterly newsletter is distributed to more than 1.5 million readers.</w:t>
      </w:r>
    </w:p>
    <w:p w:rsidR="00035D5B" w:rsidRPr="00783F5D" w:rsidRDefault="00035D5B" w:rsidP="00035D5B">
      <w:pPr>
        <w:spacing w:line="280" w:lineRule="atLeast"/>
        <w:jc w:val="both"/>
        <w:rPr>
          <w:sz w:val="22"/>
          <w:szCs w:val="22"/>
        </w:rPr>
      </w:pPr>
    </w:p>
    <w:p w:rsidR="00035D5B" w:rsidRPr="00783F5D" w:rsidRDefault="00035D5B" w:rsidP="00035D5B">
      <w:pPr>
        <w:spacing w:line="280" w:lineRule="atLeast"/>
        <w:jc w:val="both"/>
        <w:rPr>
          <w:sz w:val="22"/>
          <w:szCs w:val="22"/>
        </w:rPr>
      </w:pPr>
      <w:r w:rsidRPr="00783F5D">
        <w:rPr>
          <w:sz w:val="22"/>
          <w:szCs w:val="22"/>
        </w:rPr>
        <w:t xml:space="preserve">EDHEC-Risk Institute also has highly significant executive education activities for professionals. In partnership with CFA Institute, it has developed advanced seminars based on its research which are available to CFA charterholders and have been taking place since 2008 in New York, Singapore and London. </w:t>
      </w:r>
    </w:p>
    <w:p w:rsidR="00035D5B" w:rsidRPr="00783F5D" w:rsidRDefault="00035D5B" w:rsidP="00035D5B">
      <w:pPr>
        <w:spacing w:line="280" w:lineRule="atLeast"/>
        <w:jc w:val="both"/>
        <w:rPr>
          <w:sz w:val="22"/>
          <w:szCs w:val="22"/>
        </w:rPr>
      </w:pPr>
    </w:p>
    <w:p w:rsidR="00035D5B" w:rsidRPr="00783F5D" w:rsidRDefault="00035D5B" w:rsidP="00035D5B">
      <w:pPr>
        <w:spacing w:line="280" w:lineRule="atLeast"/>
        <w:jc w:val="both"/>
        <w:rPr>
          <w:sz w:val="22"/>
          <w:szCs w:val="22"/>
        </w:rPr>
      </w:pPr>
      <w:r w:rsidRPr="00783F5D">
        <w:rPr>
          <w:sz w:val="22"/>
          <w:szCs w:val="22"/>
        </w:rPr>
        <w:t xml:space="preserve">In 2012, EDHEC-Risk Institute signed two strategic partnership agreements, with the Operations Research and Financial Engineering department of Princeton University to set up a joint research programme in the area of asset-liability management for institutions and individuals, and with Yale School of Management to set up joint certified executive training courses in North America and Europe in the area of risk and investment management. </w:t>
      </w:r>
    </w:p>
    <w:p w:rsidR="00035D5B" w:rsidRPr="00783F5D" w:rsidRDefault="00035D5B" w:rsidP="00035D5B">
      <w:pPr>
        <w:spacing w:line="280" w:lineRule="atLeast"/>
        <w:jc w:val="both"/>
        <w:rPr>
          <w:sz w:val="22"/>
          <w:szCs w:val="22"/>
        </w:rPr>
      </w:pPr>
    </w:p>
    <w:p w:rsidR="00035D5B" w:rsidRPr="00783F5D" w:rsidRDefault="00035D5B" w:rsidP="00035D5B">
      <w:pPr>
        <w:jc w:val="both"/>
        <w:rPr>
          <w:color w:val="000000" w:themeColor="text1"/>
          <w:sz w:val="22"/>
          <w:szCs w:val="22"/>
        </w:rPr>
      </w:pPr>
      <w:r w:rsidRPr="00783F5D">
        <w:rPr>
          <w:color w:val="000000" w:themeColor="text1"/>
          <w:sz w:val="22"/>
          <w:szCs w:val="22"/>
        </w:rPr>
        <w:t>As part of its policy of transferring know-how to the industry, EDHEC-Risk Institute has set up ERI Scientific Beta. ERI Scientific Beta is an original initiative which aims to favour the adoption of the latest advances in smart beta design and implementation by the whole investment industry. Its academic origin provides the foundation for its strategy: offer, in the best economic conditions possible, the smart beta solutions that are most proven scientifically with full transparency of both the methods and the associated risks.</w:t>
      </w:r>
    </w:p>
    <w:p w:rsidR="00BC5F44" w:rsidRPr="00783F5D" w:rsidRDefault="00BC5F44" w:rsidP="00BC5F44">
      <w:pPr>
        <w:rPr>
          <w:b/>
          <w:bCs/>
          <w:sz w:val="16"/>
          <w:szCs w:val="16"/>
          <w:lang w:eastAsia="zh-CN"/>
        </w:rPr>
      </w:pPr>
    </w:p>
    <w:p w:rsidR="00BC5F44" w:rsidRPr="00783F5D" w:rsidRDefault="00BC5F44" w:rsidP="00BC5F44">
      <w:pPr>
        <w:rPr>
          <w:b/>
          <w:bCs/>
          <w:sz w:val="16"/>
          <w:szCs w:val="16"/>
          <w:lang w:eastAsia="zh-CN"/>
        </w:rPr>
      </w:pPr>
    </w:p>
    <w:p w:rsidR="00035D5B" w:rsidRPr="00783F5D" w:rsidRDefault="00035D5B" w:rsidP="00035D5B">
      <w:pPr>
        <w:autoSpaceDE w:val="0"/>
        <w:autoSpaceDN w:val="0"/>
        <w:adjustRightInd w:val="0"/>
        <w:rPr>
          <w:b/>
          <w:bCs/>
          <w:sz w:val="16"/>
          <w:szCs w:val="16"/>
          <w:lang w:eastAsia="zh-CN"/>
        </w:rPr>
      </w:pPr>
      <w:r w:rsidRPr="00783F5D">
        <w:rPr>
          <w:b/>
          <w:bCs/>
          <w:sz w:val="16"/>
          <w:szCs w:val="16"/>
          <w:lang w:eastAsia="zh-CN"/>
        </w:rPr>
        <w:t>EDHEC-Risk Institute</w:t>
      </w:r>
      <w:r w:rsidRPr="00783F5D">
        <w:rPr>
          <w:b/>
          <w:bCs/>
          <w:sz w:val="16"/>
          <w:szCs w:val="16"/>
          <w:lang w:eastAsia="zh-CN"/>
        </w:rPr>
        <w:tab/>
      </w:r>
      <w:r w:rsidRPr="00783F5D">
        <w:rPr>
          <w:b/>
          <w:bCs/>
          <w:sz w:val="16"/>
          <w:szCs w:val="16"/>
          <w:lang w:eastAsia="zh-CN"/>
        </w:rPr>
        <w:tab/>
        <w:t>EDHEC Risk Institute—Europe</w:t>
      </w:r>
      <w:r w:rsidRPr="00783F5D">
        <w:rPr>
          <w:b/>
          <w:bCs/>
          <w:sz w:val="16"/>
          <w:szCs w:val="16"/>
          <w:lang w:eastAsia="zh-CN"/>
        </w:rPr>
        <w:tab/>
        <w:t>EDHEC Risk Institute—Asia</w:t>
      </w:r>
    </w:p>
    <w:p w:rsidR="00035D5B" w:rsidRPr="00783F5D" w:rsidRDefault="00035D5B" w:rsidP="00035D5B">
      <w:pPr>
        <w:autoSpaceDE w:val="0"/>
        <w:autoSpaceDN w:val="0"/>
        <w:adjustRightInd w:val="0"/>
        <w:rPr>
          <w:sz w:val="16"/>
          <w:szCs w:val="16"/>
          <w:lang w:eastAsia="zh-CN"/>
        </w:rPr>
      </w:pPr>
      <w:r w:rsidRPr="00783F5D">
        <w:rPr>
          <w:sz w:val="16"/>
          <w:szCs w:val="16"/>
          <w:lang w:eastAsia="zh-CN"/>
        </w:rPr>
        <w:t>393 promenade des Anglais</w:t>
      </w:r>
      <w:r w:rsidRPr="00783F5D">
        <w:rPr>
          <w:sz w:val="16"/>
          <w:szCs w:val="16"/>
          <w:lang w:eastAsia="zh-CN"/>
        </w:rPr>
        <w:tab/>
      </w:r>
      <w:r w:rsidRPr="00783F5D">
        <w:rPr>
          <w:sz w:val="16"/>
          <w:szCs w:val="16"/>
          <w:lang w:eastAsia="zh-CN"/>
        </w:rPr>
        <w:tab/>
        <w:t>10 Fleet Place, Ludgate</w:t>
      </w:r>
      <w:r w:rsidRPr="00783F5D">
        <w:rPr>
          <w:sz w:val="16"/>
          <w:szCs w:val="16"/>
          <w:lang w:eastAsia="zh-CN"/>
        </w:rPr>
        <w:tab/>
      </w:r>
      <w:r w:rsidRPr="00783F5D">
        <w:rPr>
          <w:sz w:val="16"/>
          <w:szCs w:val="16"/>
          <w:lang w:eastAsia="zh-CN"/>
        </w:rPr>
        <w:tab/>
        <w:t>1 George Street</w:t>
      </w:r>
    </w:p>
    <w:p w:rsidR="00035D5B" w:rsidRPr="00783F5D" w:rsidRDefault="00035D5B" w:rsidP="00035D5B">
      <w:pPr>
        <w:autoSpaceDE w:val="0"/>
        <w:autoSpaceDN w:val="0"/>
        <w:adjustRightInd w:val="0"/>
        <w:rPr>
          <w:sz w:val="16"/>
          <w:szCs w:val="16"/>
          <w:lang w:eastAsia="zh-CN"/>
        </w:rPr>
      </w:pPr>
      <w:r w:rsidRPr="00783F5D">
        <w:rPr>
          <w:sz w:val="16"/>
          <w:szCs w:val="16"/>
          <w:lang w:eastAsia="zh-CN"/>
        </w:rPr>
        <w:t>BP 3116 - 06202 Nice Cedex 3</w:t>
      </w:r>
      <w:r w:rsidRPr="00783F5D">
        <w:rPr>
          <w:sz w:val="16"/>
          <w:szCs w:val="16"/>
          <w:lang w:eastAsia="zh-CN"/>
        </w:rPr>
        <w:tab/>
      </w:r>
      <w:r w:rsidRPr="00783F5D">
        <w:rPr>
          <w:sz w:val="16"/>
          <w:szCs w:val="16"/>
          <w:lang w:eastAsia="zh-CN"/>
        </w:rPr>
        <w:tab/>
        <w:t>London EC4M 7RB</w:t>
      </w:r>
      <w:r w:rsidRPr="00783F5D">
        <w:rPr>
          <w:sz w:val="16"/>
          <w:szCs w:val="16"/>
          <w:lang w:eastAsia="zh-CN"/>
        </w:rPr>
        <w:tab/>
      </w:r>
      <w:r w:rsidRPr="00783F5D">
        <w:rPr>
          <w:sz w:val="16"/>
          <w:szCs w:val="16"/>
          <w:lang w:eastAsia="zh-CN"/>
        </w:rPr>
        <w:tab/>
      </w:r>
      <w:r w:rsidRPr="00783F5D">
        <w:rPr>
          <w:sz w:val="16"/>
          <w:szCs w:val="16"/>
          <w:lang w:eastAsia="zh-CN"/>
        </w:rPr>
        <w:tab/>
        <w:t>#07-02</w:t>
      </w:r>
    </w:p>
    <w:p w:rsidR="00035D5B" w:rsidRPr="00783F5D" w:rsidRDefault="00035D5B" w:rsidP="00035D5B">
      <w:pPr>
        <w:autoSpaceDE w:val="0"/>
        <w:autoSpaceDN w:val="0"/>
        <w:adjustRightInd w:val="0"/>
        <w:rPr>
          <w:sz w:val="16"/>
          <w:szCs w:val="16"/>
          <w:lang w:eastAsia="zh-CN"/>
        </w:rPr>
      </w:pPr>
      <w:r w:rsidRPr="00783F5D">
        <w:rPr>
          <w:sz w:val="16"/>
          <w:szCs w:val="16"/>
          <w:lang w:eastAsia="zh-CN"/>
        </w:rPr>
        <w:t>France</w:t>
      </w:r>
      <w:r w:rsidRPr="00783F5D">
        <w:rPr>
          <w:sz w:val="16"/>
          <w:szCs w:val="16"/>
          <w:lang w:eastAsia="zh-CN"/>
        </w:rPr>
        <w:tab/>
      </w:r>
      <w:r w:rsidRPr="00783F5D">
        <w:rPr>
          <w:sz w:val="16"/>
          <w:szCs w:val="16"/>
          <w:lang w:eastAsia="zh-CN"/>
        </w:rPr>
        <w:tab/>
      </w:r>
      <w:r w:rsidRPr="00783F5D">
        <w:rPr>
          <w:sz w:val="16"/>
          <w:szCs w:val="16"/>
          <w:lang w:eastAsia="zh-CN"/>
        </w:rPr>
        <w:tab/>
      </w:r>
      <w:r w:rsidRPr="00783F5D">
        <w:rPr>
          <w:sz w:val="16"/>
          <w:szCs w:val="16"/>
          <w:lang w:eastAsia="zh-CN"/>
        </w:rPr>
        <w:tab/>
        <w:t>United Kingdom</w:t>
      </w:r>
      <w:r w:rsidRPr="00783F5D">
        <w:rPr>
          <w:sz w:val="16"/>
          <w:szCs w:val="16"/>
          <w:lang w:eastAsia="zh-CN"/>
        </w:rPr>
        <w:tab/>
      </w:r>
      <w:r w:rsidRPr="00783F5D">
        <w:rPr>
          <w:sz w:val="16"/>
          <w:szCs w:val="16"/>
          <w:lang w:eastAsia="zh-CN"/>
        </w:rPr>
        <w:tab/>
      </w:r>
      <w:r w:rsidRPr="00783F5D">
        <w:rPr>
          <w:sz w:val="16"/>
          <w:szCs w:val="16"/>
          <w:lang w:eastAsia="zh-CN"/>
        </w:rPr>
        <w:tab/>
        <w:t>Singapore 049145</w:t>
      </w:r>
    </w:p>
    <w:p w:rsidR="00035D5B" w:rsidRPr="00783F5D" w:rsidRDefault="00035D5B" w:rsidP="00035D5B">
      <w:pPr>
        <w:autoSpaceDE w:val="0"/>
        <w:autoSpaceDN w:val="0"/>
        <w:adjustRightInd w:val="0"/>
        <w:rPr>
          <w:sz w:val="20"/>
          <w:szCs w:val="20"/>
          <w:lang w:eastAsia="zh-CN"/>
        </w:rPr>
      </w:pPr>
      <w:r w:rsidRPr="00783F5D">
        <w:rPr>
          <w:sz w:val="16"/>
          <w:szCs w:val="16"/>
          <w:lang w:eastAsia="zh-CN"/>
        </w:rPr>
        <w:t>Tel: +33 493 187 824</w:t>
      </w:r>
      <w:r w:rsidRPr="00783F5D">
        <w:rPr>
          <w:sz w:val="16"/>
          <w:szCs w:val="16"/>
          <w:lang w:eastAsia="zh-CN"/>
        </w:rPr>
        <w:tab/>
      </w:r>
      <w:r w:rsidRPr="00783F5D">
        <w:rPr>
          <w:sz w:val="16"/>
          <w:szCs w:val="16"/>
          <w:lang w:eastAsia="zh-CN"/>
        </w:rPr>
        <w:tab/>
      </w:r>
      <w:r w:rsidRPr="00783F5D">
        <w:rPr>
          <w:sz w:val="16"/>
          <w:szCs w:val="16"/>
          <w:lang w:eastAsia="zh-CN"/>
        </w:rPr>
        <w:tab/>
        <w:t>Tel: +44 207 871 6740</w:t>
      </w:r>
      <w:r w:rsidRPr="00783F5D">
        <w:rPr>
          <w:sz w:val="16"/>
          <w:szCs w:val="16"/>
          <w:lang w:eastAsia="zh-CN"/>
        </w:rPr>
        <w:tab/>
      </w:r>
      <w:r w:rsidRPr="00783F5D">
        <w:rPr>
          <w:sz w:val="16"/>
          <w:szCs w:val="16"/>
          <w:lang w:eastAsia="zh-CN"/>
        </w:rPr>
        <w:tab/>
        <w:t>Tel: +65 64380030</w:t>
      </w:r>
    </w:p>
    <w:p w:rsidR="00035D5B" w:rsidRPr="00783F5D" w:rsidRDefault="00035D5B" w:rsidP="00035D5B">
      <w:pPr>
        <w:jc w:val="both"/>
        <w:rPr>
          <w:snapToGrid w:val="0"/>
        </w:rPr>
      </w:pPr>
    </w:p>
    <w:p w:rsidR="00035D5B" w:rsidRPr="00783F5D" w:rsidRDefault="00035D5B" w:rsidP="00035D5B">
      <w:pPr>
        <w:autoSpaceDE w:val="0"/>
        <w:autoSpaceDN w:val="0"/>
        <w:adjustRightInd w:val="0"/>
        <w:rPr>
          <w:b/>
          <w:bCs/>
          <w:sz w:val="16"/>
          <w:szCs w:val="16"/>
          <w:lang w:eastAsia="zh-CN"/>
        </w:rPr>
      </w:pPr>
      <w:r w:rsidRPr="00783F5D">
        <w:rPr>
          <w:b/>
          <w:bCs/>
          <w:sz w:val="16"/>
          <w:szCs w:val="16"/>
          <w:lang w:eastAsia="zh-CN"/>
        </w:rPr>
        <w:t>EDHEC Risk Institute—France</w:t>
      </w:r>
    </w:p>
    <w:p w:rsidR="00035D5B" w:rsidRPr="00783F5D" w:rsidRDefault="00035D5B" w:rsidP="00035D5B">
      <w:pPr>
        <w:autoSpaceDE w:val="0"/>
        <w:autoSpaceDN w:val="0"/>
        <w:adjustRightInd w:val="0"/>
        <w:rPr>
          <w:bCs/>
          <w:sz w:val="16"/>
          <w:szCs w:val="16"/>
          <w:lang w:val="fr-FR" w:eastAsia="zh-CN"/>
        </w:rPr>
      </w:pPr>
      <w:r w:rsidRPr="00783F5D">
        <w:rPr>
          <w:bCs/>
          <w:sz w:val="16"/>
          <w:szCs w:val="16"/>
          <w:lang w:val="fr-FR" w:eastAsia="zh-CN"/>
        </w:rPr>
        <w:t xml:space="preserve">16-18 </w:t>
      </w:r>
      <w:proofErr w:type="gramStart"/>
      <w:r w:rsidRPr="00783F5D">
        <w:rPr>
          <w:bCs/>
          <w:sz w:val="16"/>
          <w:szCs w:val="16"/>
          <w:lang w:val="fr-FR" w:eastAsia="zh-CN"/>
        </w:rPr>
        <w:t>rue</w:t>
      </w:r>
      <w:proofErr w:type="gramEnd"/>
      <w:r w:rsidRPr="00783F5D">
        <w:rPr>
          <w:bCs/>
          <w:sz w:val="16"/>
          <w:szCs w:val="16"/>
          <w:lang w:val="fr-FR" w:eastAsia="zh-CN"/>
        </w:rPr>
        <w:t xml:space="preserve"> du 4 septembre</w:t>
      </w:r>
    </w:p>
    <w:p w:rsidR="00035D5B" w:rsidRPr="00783F5D" w:rsidRDefault="00035D5B" w:rsidP="00035D5B">
      <w:pPr>
        <w:autoSpaceDE w:val="0"/>
        <w:autoSpaceDN w:val="0"/>
        <w:adjustRightInd w:val="0"/>
        <w:rPr>
          <w:bCs/>
          <w:sz w:val="16"/>
          <w:szCs w:val="16"/>
          <w:lang w:val="fr-FR" w:eastAsia="zh-CN"/>
        </w:rPr>
      </w:pPr>
      <w:r w:rsidRPr="00783F5D">
        <w:rPr>
          <w:bCs/>
          <w:sz w:val="16"/>
          <w:szCs w:val="16"/>
          <w:lang w:val="fr-FR" w:eastAsia="zh-CN"/>
        </w:rPr>
        <w:t>75002 Paris</w:t>
      </w:r>
    </w:p>
    <w:p w:rsidR="00035D5B" w:rsidRPr="00783F5D" w:rsidRDefault="00035D5B" w:rsidP="00035D5B">
      <w:pPr>
        <w:autoSpaceDE w:val="0"/>
        <w:autoSpaceDN w:val="0"/>
        <w:adjustRightInd w:val="0"/>
        <w:rPr>
          <w:bCs/>
          <w:sz w:val="16"/>
          <w:szCs w:val="16"/>
          <w:lang w:val="fr-FR" w:eastAsia="zh-CN"/>
        </w:rPr>
      </w:pPr>
      <w:r w:rsidRPr="00783F5D">
        <w:rPr>
          <w:bCs/>
          <w:sz w:val="16"/>
          <w:szCs w:val="16"/>
          <w:lang w:val="fr-FR" w:eastAsia="zh-CN"/>
        </w:rPr>
        <w:t>France</w:t>
      </w:r>
    </w:p>
    <w:p w:rsidR="00035D5B" w:rsidRPr="00783F5D" w:rsidRDefault="00035D5B" w:rsidP="00035D5B">
      <w:pPr>
        <w:autoSpaceDE w:val="0"/>
        <w:autoSpaceDN w:val="0"/>
        <w:adjustRightInd w:val="0"/>
        <w:rPr>
          <w:bCs/>
          <w:sz w:val="16"/>
          <w:szCs w:val="16"/>
          <w:lang w:val="fr-FR" w:eastAsia="zh-CN"/>
        </w:rPr>
      </w:pPr>
      <w:r w:rsidRPr="00783F5D">
        <w:rPr>
          <w:bCs/>
          <w:sz w:val="16"/>
          <w:szCs w:val="16"/>
          <w:lang w:val="fr-FR" w:eastAsia="zh-CN"/>
        </w:rPr>
        <w:t>Tel: +33 153 327 630</w:t>
      </w:r>
    </w:p>
    <w:p w:rsidR="00035D5B" w:rsidRPr="00C90F9D" w:rsidRDefault="00035D5B" w:rsidP="00035D5B">
      <w:pPr>
        <w:jc w:val="both"/>
        <w:rPr>
          <w:snapToGrid w:val="0"/>
          <w:sz w:val="22"/>
          <w:szCs w:val="22"/>
          <w:lang w:val="fr-FR"/>
        </w:rPr>
      </w:pPr>
    </w:p>
    <w:p w:rsidR="00035D5B" w:rsidRPr="00783F5D" w:rsidRDefault="00FD7905" w:rsidP="00035D5B">
      <w:pPr>
        <w:autoSpaceDE w:val="0"/>
        <w:autoSpaceDN w:val="0"/>
        <w:adjustRightInd w:val="0"/>
        <w:rPr>
          <w:bCs/>
          <w:sz w:val="22"/>
          <w:szCs w:val="22"/>
          <w:lang w:val="es-ES" w:eastAsia="zh-CN"/>
        </w:rPr>
      </w:pPr>
      <w:hyperlink r:id="rId14" w:history="1">
        <w:r w:rsidR="00035D5B" w:rsidRPr="00783F5D">
          <w:rPr>
            <w:rStyle w:val="Hyperlink"/>
            <w:rFonts w:eastAsia="SimSun"/>
            <w:sz w:val="22"/>
            <w:szCs w:val="22"/>
            <w:lang w:val="es-ES" w:eastAsia="zh-CN"/>
          </w:rPr>
          <w:t>www.edhec-risk.com</w:t>
        </w:r>
      </w:hyperlink>
    </w:p>
    <w:p w:rsidR="00087BE7" w:rsidRPr="00783F5D" w:rsidRDefault="00087BE7" w:rsidP="00783A46">
      <w:pPr>
        <w:autoSpaceDE w:val="0"/>
        <w:autoSpaceDN w:val="0"/>
        <w:adjustRightInd w:val="0"/>
        <w:jc w:val="both"/>
        <w:rPr>
          <w:snapToGrid w:val="0"/>
          <w:color w:val="000000"/>
          <w:sz w:val="20"/>
          <w:szCs w:val="20"/>
          <w:lang w:val="es-ES"/>
        </w:rPr>
      </w:pPr>
    </w:p>
    <w:p w:rsidR="00BC5F44" w:rsidRPr="00783F5D" w:rsidRDefault="00BC5F44" w:rsidP="00783A46">
      <w:pPr>
        <w:autoSpaceDE w:val="0"/>
        <w:autoSpaceDN w:val="0"/>
        <w:adjustRightInd w:val="0"/>
        <w:jc w:val="both"/>
        <w:rPr>
          <w:snapToGrid w:val="0"/>
          <w:color w:val="000000"/>
          <w:sz w:val="20"/>
          <w:szCs w:val="20"/>
          <w:lang w:val="es-ES"/>
        </w:rPr>
      </w:pPr>
    </w:p>
    <w:p w:rsidR="003A22BC" w:rsidRDefault="003A22BC" w:rsidP="007B65F7">
      <w:pPr>
        <w:jc w:val="both"/>
        <w:rPr>
          <w:b/>
          <w:bCs/>
          <w:snapToGrid w:val="0"/>
          <w:sz w:val="28"/>
          <w:szCs w:val="28"/>
        </w:rPr>
      </w:pPr>
    </w:p>
    <w:p w:rsidR="007B65F7" w:rsidRPr="003C722B" w:rsidRDefault="007B65F7" w:rsidP="007B65F7">
      <w:pPr>
        <w:jc w:val="both"/>
        <w:rPr>
          <w:snapToGrid w:val="0"/>
          <w:sz w:val="28"/>
          <w:szCs w:val="28"/>
          <w:lang w:val="en-US"/>
        </w:rPr>
      </w:pPr>
      <w:r w:rsidRPr="003C722B">
        <w:rPr>
          <w:b/>
          <w:bCs/>
          <w:snapToGrid w:val="0"/>
          <w:sz w:val="28"/>
          <w:szCs w:val="28"/>
        </w:rPr>
        <w:t xml:space="preserve">About </w:t>
      </w:r>
      <w:proofErr w:type="spellStart"/>
      <w:r w:rsidRPr="003C722B">
        <w:rPr>
          <w:b/>
          <w:bCs/>
          <w:snapToGrid w:val="0"/>
          <w:sz w:val="28"/>
          <w:szCs w:val="28"/>
        </w:rPr>
        <w:t>Amundi</w:t>
      </w:r>
      <w:proofErr w:type="spellEnd"/>
    </w:p>
    <w:p w:rsidR="007B65F7" w:rsidRPr="003C722B" w:rsidRDefault="007B65F7" w:rsidP="007B65F7">
      <w:pPr>
        <w:jc w:val="both"/>
        <w:rPr>
          <w:snapToGrid w:val="0"/>
          <w:sz w:val="22"/>
          <w:szCs w:val="22"/>
        </w:rPr>
      </w:pPr>
    </w:p>
    <w:p w:rsidR="007B65F7" w:rsidRPr="003C722B" w:rsidRDefault="007B65F7" w:rsidP="007B65F7">
      <w:pPr>
        <w:jc w:val="both"/>
        <w:rPr>
          <w:snapToGrid w:val="0"/>
          <w:sz w:val="22"/>
          <w:szCs w:val="22"/>
        </w:rPr>
      </w:pPr>
      <w:r w:rsidRPr="003C722B">
        <w:rPr>
          <w:snapToGrid w:val="0"/>
          <w:sz w:val="22"/>
          <w:szCs w:val="22"/>
        </w:rPr>
        <w:t>Amundi is the No.1 European Asset Manager and in the Top 10 worldwide</w:t>
      </w:r>
      <w:r w:rsidRPr="003C722B">
        <w:rPr>
          <w:snapToGrid w:val="0"/>
          <w:sz w:val="22"/>
          <w:szCs w:val="22"/>
          <w:vertAlign w:val="superscript"/>
        </w:rPr>
        <w:t>1</w:t>
      </w:r>
      <w:r w:rsidRPr="003C722B">
        <w:rPr>
          <w:snapToGrid w:val="0"/>
          <w:sz w:val="22"/>
          <w:szCs w:val="22"/>
        </w:rPr>
        <w:t xml:space="preserve"> with AUM of close to €1,000 billion worldwide</w:t>
      </w:r>
      <w:r w:rsidR="00D8245A">
        <w:rPr>
          <w:snapToGrid w:val="0"/>
          <w:sz w:val="22"/>
          <w:szCs w:val="22"/>
        </w:rPr>
        <w:t>.</w:t>
      </w:r>
      <w:r w:rsidRPr="003C722B">
        <w:rPr>
          <w:snapToGrid w:val="0"/>
          <w:sz w:val="22"/>
          <w:szCs w:val="22"/>
          <w:vertAlign w:val="superscript"/>
        </w:rPr>
        <w:t>2</w:t>
      </w:r>
    </w:p>
    <w:p w:rsidR="007B65F7" w:rsidRPr="003C722B" w:rsidRDefault="007B65F7" w:rsidP="007B65F7">
      <w:pPr>
        <w:jc w:val="both"/>
        <w:rPr>
          <w:snapToGrid w:val="0"/>
          <w:sz w:val="22"/>
          <w:szCs w:val="22"/>
        </w:rPr>
      </w:pPr>
    </w:p>
    <w:p w:rsidR="007B65F7" w:rsidRPr="003C722B" w:rsidRDefault="007B65F7" w:rsidP="007B65F7">
      <w:pPr>
        <w:jc w:val="both"/>
        <w:rPr>
          <w:snapToGrid w:val="0"/>
          <w:sz w:val="22"/>
          <w:szCs w:val="22"/>
        </w:rPr>
      </w:pPr>
      <w:r w:rsidRPr="003C722B">
        <w:rPr>
          <w:snapToGrid w:val="0"/>
          <w:sz w:val="22"/>
          <w:szCs w:val="22"/>
        </w:rPr>
        <w:t>Located at the heart of the main investment regions in more than 30 countries, Amundi offers a comprehensive range of products covering all asset classes and major currencies.</w:t>
      </w:r>
    </w:p>
    <w:p w:rsidR="007B65F7" w:rsidRPr="003C722B" w:rsidRDefault="007B65F7" w:rsidP="007B65F7">
      <w:pPr>
        <w:jc w:val="both"/>
        <w:rPr>
          <w:snapToGrid w:val="0"/>
          <w:sz w:val="22"/>
          <w:szCs w:val="22"/>
        </w:rPr>
      </w:pPr>
    </w:p>
    <w:p w:rsidR="007B65F7" w:rsidRDefault="007B65F7" w:rsidP="007B65F7">
      <w:pPr>
        <w:jc w:val="both"/>
        <w:rPr>
          <w:snapToGrid w:val="0"/>
          <w:sz w:val="22"/>
          <w:szCs w:val="22"/>
        </w:rPr>
      </w:pPr>
      <w:r w:rsidRPr="003C722B">
        <w:rPr>
          <w:snapToGrid w:val="0"/>
          <w:sz w:val="22"/>
          <w:szCs w:val="22"/>
        </w:rPr>
        <w:t xml:space="preserve">Amundi has developed savings solutions to meet the needs of more than 100 million retail clients worldwide and designs innovative, high-performing products for institutional clients </w:t>
      </w:r>
      <w:proofErr w:type="gramStart"/>
      <w:r w:rsidRPr="003C722B">
        <w:rPr>
          <w:snapToGrid w:val="0"/>
          <w:sz w:val="22"/>
          <w:szCs w:val="22"/>
        </w:rPr>
        <w:t>which</w:t>
      </w:r>
      <w:proofErr w:type="gramEnd"/>
      <w:r w:rsidRPr="003C722B">
        <w:rPr>
          <w:snapToGrid w:val="0"/>
          <w:sz w:val="22"/>
          <w:szCs w:val="22"/>
        </w:rPr>
        <w:t xml:space="preserve"> are tailored specifically to their requirements and risk profile.</w:t>
      </w:r>
    </w:p>
    <w:p w:rsidR="00F13F7F" w:rsidRPr="003C722B" w:rsidRDefault="00F13F7F" w:rsidP="007B65F7">
      <w:pPr>
        <w:jc w:val="both"/>
        <w:rPr>
          <w:snapToGrid w:val="0"/>
          <w:sz w:val="22"/>
          <w:szCs w:val="22"/>
        </w:rPr>
      </w:pPr>
    </w:p>
    <w:p w:rsidR="007B65F7" w:rsidRPr="003C722B" w:rsidRDefault="007B65F7" w:rsidP="007B65F7">
      <w:pPr>
        <w:jc w:val="both"/>
        <w:rPr>
          <w:snapToGrid w:val="0"/>
          <w:sz w:val="22"/>
          <w:szCs w:val="22"/>
        </w:rPr>
      </w:pPr>
      <w:r w:rsidRPr="003C722B">
        <w:rPr>
          <w:snapToGrid w:val="0"/>
          <w:sz w:val="22"/>
          <w:szCs w:val="22"/>
        </w:rPr>
        <w:t>The Group contributes to funding the economy by orienting savings towards company development.</w:t>
      </w:r>
    </w:p>
    <w:p w:rsidR="00252F83" w:rsidRDefault="00252F83" w:rsidP="007B65F7">
      <w:pPr>
        <w:jc w:val="both"/>
        <w:rPr>
          <w:snapToGrid w:val="0"/>
          <w:sz w:val="22"/>
          <w:szCs w:val="22"/>
        </w:rPr>
      </w:pPr>
    </w:p>
    <w:p w:rsidR="007B65F7" w:rsidRPr="003C722B" w:rsidRDefault="007B65F7" w:rsidP="007B65F7">
      <w:pPr>
        <w:jc w:val="both"/>
        <w:rPr>
          <w:snapToGrid w:val="0"/>
          <w:sz w:val="22"/>
          <w:szCs w:val="22"/>
        </w:rPr>
      </w:pPr>
      <w:proofErr w:type="spellStart"/>
      <w:r w:rsidRPr="003C722B">
        <w:rPr>
          <w:snapToGrid w:val="0"/>
          <w:sz w:val="22"/>
          <w:szCs w:val="22"/>
        </w:rPr>
        <w:t>Amundi</w:t>
      </w:r>
      <w:proofErr w:type="spellEnd"/>
      <w:r w:rsidRPr="003C722B">
        <w:rPr>
          <w:snapToGrid w:val="0"/>
          <w:sz w:val="22"/>
          <w:szCs w:val="22"/>
        </w:rPr>
        <w:t xml:space="preserve"> has become a leading European player in asset management, recognised for:</w:t>
      </w:r>
    </w:p>
    <w:p w:rsidR="007B65F7" w:rsidRPr="003C722B" w:rsidRDefault="007B65F7" w:rsidP="007B65F7">
      <w:pPr>
        <w:pStyle w:val="ListParagraph"/>
        <w:numPr>
          <w:ilvl w:val="0"/>
          <w:numId w:val="18"/>
        </w:numPr>
        <w:tabs>
          <w:tab w:val="clear" w:pos="709"/>
        </w:tabs>
        <w:autoSpaceDE w:val="0"/>
        <w:autoSpaceDN w:val="0"/>
        <w:spacing w:after="0" w:line="240" w:lineRule="auto"/>
        <w:ind w:left="567" w:hanging="207"/>
        <w:rPr>
          <w:rFonts w:ascii="Times New Roman" w:hAnsi="Times New Roman" w:cs="Times New Roman"/>
          <w:snapToGrid w:val="0"/>
        </w:rPr>
      </w:pPr>
      <w:r w:rsidRPr="003C722B">
        <w:rPr>
          <w:rFonts w:ascii="Times New Roman" w:hAnsi="Times New Roman" w:cs="Times New Roman"/>
          <w:snapToGrid w:val="0"/>
        </w:rPr>
        <w:t xml:space="preserve">Product performance and transparency; </w:t>
      </w:r>
    </w:p>
    <w:p w:rsidR="007B65F7" w:rsidRPr="003C722B" w:rsidRDefault="007B65F7" w:rsidP="007B65F7">
      <w:pPr>
        <w:pStyle w:val="ListParagraph"/>
        <w:numPr>
          <w:ilvl w:val="0"/>
          <w:numId w:val="18"/>
        </w:numPr>
        <w:tabs>
          <w:tab w:val="clear" w:pos="709"/>
        </w:tabs>
        <w:autoSpaceDE w:val="0"/>
        <w:autoSpaceDN w:val="0"/>
        <w:spacing w:after="0" w:line="240" w:lineRule="auto"/>
        <w:ind w:left="567" w:hanging="207"/>
        <w:rPr>
          <w:rFonts w:ascii="Times New Roman" w:hAnsi="Times New Roman" w:cs="Times New Roman"/>
          <w:snapToGrid w:val="0"/>
        </w:rPr>
      </w:pPr>
      <w:r w:rsidRPr="003C722B">
        <w:rPr>
          <w:rFonts w:ascii="Times New Roman" w:hAnsi="Times New Roman" w:cs="Times New Roman"/>
          <w:snapToGrid w:val="0"/>
        </w:rPr>
        <w:t>Quality of client relationships based on a long-term advisory approach;</w:t>
      </w:r>
    </w:p>
    <w:p w:rsidR="007B65F7" w:rsidRPr="003C722B" w:rsidRDefault="007B65F7" w:rsidP="00F13F7F">
      <w:pPr>
        <w:pStyle w:val="ListParagraph"/>
        <w:numPr>
          <w:ilvl w:val="0"/>
          <w:numId w:val="18"/>
        </w:numPr>
        <w:tabs>
          <w:tab w:val="clear" w:pos="709"/>
        </w:tabs>
        <w:autoSpaceDE w:val="0"/>
        <w:autoSpaceDN w:val="0"/>
        <w:spacing w:after="0" w:line="240" w:lineRule="auto"/>
        <w:ind w:left="567" w:hanging="207"/>
        <w:rPr>
          <w:rFonts w:ascii="Times New Roman" w:hAnsi="Times New Roman" w:cs="Times New Roman"/>
          <w:snapToGrid w:val="0"/>
        </w:rPr>
      </w:pPr>
      <w:r w:rsidRPr="003C722B">
        <w:rPr>
          <w:rFonts w:ascii="Times New Roman" w:hAnsi="Times New Roman" w:cs="Times New Roman"/>
          <w:snapToGrid w:val="0"/>
        </w:rPr>
        <w:t xml:space="preserve">Efficiency in its organisation and teams’ promise to serving its clients; </w:t>
      </w:r>
    </w:p>
    <w:p w:rsidR="007B65F7" w:rsidRPr="003C722B" w:rsidRDefault="007B65F7" w:rsidP="007B65F7">
      <w:pPr>
        <w:pStyle w:val="ListParagraph"/>
        <w:numPr>
          <w:ilvl w:val="0"/>
          <w:numId w:val="18"/>
        </w:numPr>
        <w:tabs>
          <w:tab w:val="clear" w:pos="709"/>
        </w:tabs>
        <w:autoSpaceDE w:val="0"/>
        <w:autoSpaceDN w:val="0"/>
        <w:spacing w:after="0" w:line="240" w:lineRule="auto"/>
        <w:ind w:left="567" w:hanging="207"/>
        <w:rPr>
          <w:rFonts w:ascii="Times New Roman" w:hAnsi="Times New Roman" w:cs="Times New Roman"/>
          <w:snapToGrid w:val="0"/>
        </w:rPr>
      </w:pPr>
      <w:r w:rsidRPr="003C722B">
        <w:rPr>
          <w:rFonts w:ascii="Times New Roman" w:hAnsi="Times New Roman" w:cs="Times New Roman"/>
          <w:snapToGrid w:val="0"/>
        </w:rPr>
        <w:t>Commitment to sustainable development and socially responsible investment policies.</w:t>
      </w:r>
    </w:p>
    <w:p w:rsidR="007B65F7" w:rsidRPr="003C722B" w:rsidRDefault="007B65F7" w:rsidP="007B65F7">
      <w:pPr>
        <w:pStyle w:val="ListParagraph"/>
        <w:autoSpaceDE w:val="0"/>
        <w:autoSpaceDN w:val="0"/>
        <w:ind w:left="0"/>
        <w:rPr>
          <w:rFonts w:ascii="Times New Roman" w:hAnsi="Times New Roman" w:cs="Times New Roman"/>
          <w:snapToGrid w:val="0"/>
        </w:rPr>
      </w:pPr>
    </w:p>
    <w:p w:rsidR="007B65F7" w:rsidRPr="003C722B" w:rsidRDefault="007B65F7" w:rsidP="007B65F7">
      <w:pPr>
        <w:ind w:left="142" w:hanging="142"/>
        <w:jc w:val="both"/>
        <w:rPr>
          <w:i/>
          <w:iCs/>
          <w:sz w:val="16"/>
          <w:szCs w:val="16"/>
          <w:lang w:val="en-US"/>
        </w:rPr>
      </w:pPr>
      <w:r w:rsidRPr="003C722B">
        <w:rPr>
          <w:i/>
          <w:iCs/>
          <w:sz w:val="16"/>
          <w:szCs w:val="16"/>
          <w:lang w:val="en-US"/>
        </w:rPr>
        <w:t>1. No.1  European asset manager based on global assets under management (AUM) and the main headquarters being based in Europe– Source IPE “ Top 400 asset managers” published in June 2015 and based on AUM as at December 2014.</w:t>
      </w:r>
    </w:p>
    <w:p w:rsidR="007B65F7" w:rsidRPr="003C722B" w:rsidRDefault="007B65F7" w:rsidP="007B65F7">
      <w:pPr>
        <w:ind w:left="142" w:hanging="142"/>
        <w:jc w:val="both"/>
        <w:rPr>
          <w:i/>
          <w:iCs/>
          <w:sz w:val="16"/>
          <w:szCs w:val="16"/>
          <w:lang w:val="en-US"/>
        </w:rPr>
      </w:pPr>
      <w:r w:rsidRPr="003C722B">
        <w:rPr>
          <w:i/>
          <w:iCs/>
          <w:sz w:val="16"/>
          <w:szCs w:val="16"/>
          <w:lang w:val="en-US"/>
        </w:rPr>
        <w:t>2. Amundi figures as of 31 December 2015.</w:t>
      </w:r>
    </w:p>
    <w:p w:rsidR="007B65F7" w:rsidRPr="003C722B" w:rsidRDefault="007B65F7" w:rsidP="007B65F7">
      <w:pPr>
        <w:jc w:val="both"/>
        <w:rPr>
          <w:i/>
          <w:iCs/>
          <w:sz w:val="16"/>
          <w:szCs w:val="16"/>
          <w:lang w:val="en-US"/>
        </w:rPr>
      </w:pPr>
    </w:p>
    <w:p w:rsidR="007B65F7" w:rsidRPr="003C722B" w:rsidRDefault="007B65F7" w:rsidP="007B65F7">
      <w:pPr>
        <w:ind w:left="142"/>
        <w:jc w:val="both"/>
        <w:rPr>
          <w:i/>
          <w:iCs/>
          <w:sz w:val="16"/>
          <w:szCs w:val="16"/>
          <w:lang w:val="en-US"/>
        </w:rPr>
      </w:pPr>
      <w:proofErr w:type="spellStart"/>
      <w:r w:rsidRPr="003C722B">
        <w:rPr>
          <w:i/>
          <w:iCs/>
          <w:sz w:val="16"/>
          <w:szCs w:val="16"/>
          <w:lang w:val="en-US"/>
        </w:rPr>
        <w:t>Amundi</w:t>
      </w:r>
      <w:proofErr w:type="spellEnd"/>
      <w:r w:rsidRPr="003C722B">
        <w:rPr>
          <w:i/>
          <w:iCs/>
          <w:sz w:val="16"/>
          <w:szCs w:val="16"/>
          <w:lang w:val="en-US"/>
        </w:rPr>
        <w:t xml:space="preserve"> Asset Management, </w:t>
      </w:r>
      <w:proofErr w:type="spellStart"/>
      <w:r w:rsidRPr="003C722B">
        <w:rPr>
          <w:i/>
          <w:iCs/>
          <w:sz w:val="16"/>
          <w:szCs w:val="16"/>
          <w:lang w:val="en-US"/>
        </w:rPr>
        <w:t>Société</w:t>
      </w:r>
      <w:proofErr w:type="spellEnd"/>
      <w:r w:rsidRPr="003C722B">
        <w:rPr>
          <w:i/>
          <w:iCs/>
          <w:sz w:val="16"/>
          <w:szCs w:val="16"/>
          <w:lang w:val="en-US"/>
        </w:rPr>
        <w:t xml:space="preserve"> </w:t>
      </w:r>
      <w:proofErr w:type="spellStart"/>
      <w:r w:rsidRPr="003C722B">
        <w:rPr>
          <w:i/>
          <w:iCs/>
          <w:sz w:val="16"/>
          <w:szCs w:val="16"/>
          <w:lang w:val="en-US"/>
        </w:rPr>
        <w:t>Anonyme</w:t>
      </w:r>
      <w:proofErr w:type="spellEnd"/>
      <w:r w:rsidRPr="003C722B">
        <w:rPr>
          <w:i/>
          <w:iCs/>
          <w:sz w:val="16"/>
          <w:szCs w:val="16"/>
          <w:lang w:val="en-US"/>
        </w:rPr>
        <w:t xml:space="preserve"> with a registered capital of €596 262 615 - Portfolio Manager regulated by AMF under number GP 04000036 - Registered office: 90, boulevard Pasteur, 75015 Paris, France - 437 574 452 RCS Paris</w:t>
      </w:r>
    </w:p>
    <w:p w:rsidR="007B65F7" w:rsidRPr="003C722B" w:rsidRDefault="007B65F7" w:rsidP="007B65F7">
      <w:pPr>
        <w:jc w:val="both"/>
        <w:rPr>
          <w:color w:val="1F497D"/>
          <w:sz w:val="22"/>
          <w:szCs w:val="22"/>
          <w:lang w:val="en-US"/>
        </w:rPr>
      </w:pPr>
    </w:p>
    <w:p w:rsidR="007B65F7" w:rsidRPr="003C722B" w:rsidRDefault="007B65F7" w:rsidP="007B65F7">
      <w:pPr>
        <w:spacing w:before="240" w:after="120"/>
        <w:jc w:val="both"/>
        <w:rPr>
          <w:b/>
          <w:bCs/>
          <w:sz w:val="28"/>
          <w:szCs w:val="28"/>
          <w:lang w:val="en-US"/>
        </w:rPr>
      </w:pPr>
      <w:r w:rsidRPr="003C722B">
        <w:rPr>
          <w:b/>
          <w:bCs/>
          <w:sz w:val="28"/>
          <w:szCs w:val="28"/>
          <w:lang w:val="en-US"/>
        </w:rPr>
        <w:t xml:space="preserve">About Amundi ETF, Indexing &amp; Smart Beta </w:t>
      </w:r>
    </w:p>
    <w:p w:rsidR="007B65F7" w:rsidRPr="003C722B" w:rsidRDefault="007B65F7" w:rsidP="007B65F7">
      <w:pPr>
        <w:spacing w:before="240" w:after="120"/>
        <w:jc w:val="both"/>
        <w:rPr>
          <w:snapToGrid w:val="0"/>
          <w:sz w:val="22"/>
          <w:szCs w:val="22"/>
        </w:rPr>
      </w:pPr>
      <w:r w:rsidRPr="003C722B">
        <w:rPr>
          <w:snapToGrid w:val="0"/>
          <w:sz w:val="22"/>
          <w:szCs w:val="22"/>
          <w:lang w:val="en-US"/>
        </w:rPr>
        <w:t xml:space="preserve">With a long-standing experience combined with a strong pricing power, we offer first-class replication on more than 100 indices to internationally renowned institutions. </w:t>
      </w:r>
    </w:p>
    <w:p w:rsidR="007B65F7" w:rsidRPr="003C722B" w:rsidRDefault="007B65F7" w:rsidP="007B65F7">
      <w:pPr>
        <w:spacing w:before="240" w:after="120"/>
        <w:jc w:val="both"/>
        <w:rPr>
          <w:snapToGrid w:val="0"/>
          <w:sz w:val="22"/>
          <w:szCs w:val="22"/>
          <w:lang w:val="en-US"/>
        </w:rPr>
      </w:pPr>
      <w:r w:rsidRPr="003C722B">
        <w:rPr>
          <w:snapToGrid w:val="0"/>
          <w:sz w:val="22"/>
          <w:szCs w:val="22"/>
          <w:lang w:val="en-US"/>
        </w:rPr>
        <w:t xml:space="preserve">The Indexing expertise is built on the search for value-added sources within strict risk framework. It comprises a wide range of open-ended funds as well as having the capacity to implement </w:t>
      </w:r>
      <w:proofErr w:type="spellStart"/>
      <w:r w:rsidRPr="003C722B">
        <w:rPr>
          <w:snapToGrid w:val="0"/>
          <w:sz w:val="22"/>
          <w:szCs w:val="22"/>
          <w:lang w:val="en-US"/>
        </w:rPr>
        <w:t>customised</w:t>
      </w:r>
      <w:proofErr w:type="spellEnd"/>
      <w:r w:rsidRPr="003C722B">
        <w:rPr>
          <w:snapToGrid w:val="0"/>
          <w:sz w:val="22"/>
          <w:szCs w:val="22"/>
          <w:lang w:val="en-US"/>
        </w:rPr>
        <w:t xml:space="preserve"> mandates, including SRI and smart beta approaches. </w:t>
      </w:r>
    </w:p>
    <w:p w:rsidR="007B65F7" w:rsidRPr="003C722B" w:rsidRDefault="007B65F7" w:rsidP="007B65F7">
      <w:pPr>
        <w:jc w:val="both"/>
        <w:rPr>
          <w:snapToGrid w:val="0"/>
          <w:sz w:val="22"/>
          <w:szCs w:val="22"/>
          <w:lang w:val="en-US"/>
        </w:rPr>
      </w:pPr>
      <w:r w:rsidRPr="003C722B">
        <w:rPr>
          <w:snapToGrid w:val="0"/>
          <w:sz w:val="22"/>
          <w:szCs w:val="22"/>
          <w:lang w:val="en-US"/>
        </w:rPr>
        <w:t xml:space="preserve">In the ETF segment, Amundi has also successfully become a major player thanks to its strategy of competitive prices, innovation and high-quality tracking. </w:t>
      </w:r>
    </w:p>
    <w:p w:rsidR="007B65F7" w:rsidRPr="003C722B" w:rsidRDefault="007B65F7" w:rsidP="007B65F7">
      <w:pPr>
        <w:jc w:val="both"/>
        <w:rPr>
          <w:snapToGrid w:val="0"/>
          <w:sz w:val="22"/>
          <w:szCs w:val="22"/>
          <w:lang w:val="en-US"/>
        </w:rPr>
      </w:pPr>
    </w:p>
    <w:p w:rsidR="007B65F7" w:rsidRPr="003C722B" w:rsidRDefault="007B65F7" w:rsidP="007B65F7">
      <w:pPr>
        <w:jc w:val="both"/>
        <w:rPr>
          <w:snapToGrid w:val="0"/>
          <w:sz w:val="22"/>
          <w:szCs w:val="22"/>
          <w:lang w:val="en-US"/>
        </w:rPr>
      </w:pPr>
      <w:r w:rsidRPr="003C722B">
        <w:rPr>
          <w:snapToGrid w:val="0"/>
          <w:sz w:val="22"/>
          <w:szCs w:val="22"/>
          <w:lang w:val="en-US"/>
        </w:rPr>
        <w:t>Amundi ETF, Indexing &amp; Smart Beta experienced team of dedicated index fund managers is based in Europe and Asia, with a recognized track record, and benefiting from Amundi bargaining power and research teams’ excellence.</w:t>
      </w:r>
    </w:p>
    <w:p w:rsidR="00FD243D" w:rsidRPr="007B65F7" w:rsidRDefault="00FD243D" w:rsidP="003E6D8F">
      <w:pPr>
        <w:rPr>
          <w:b/>
          <w:bCs/>
          <w:sz w:val="28"/>
          <w:szCs w:val="28"/>
          <w:lang w:val="en-US"/>
        </w:rPr>
      </w:pPr>
    </w:p>
    <w:p w:rsidR="00BD6046" w:rsidRDefault="00BD6046" w:rsidP="003E6D8F">
      <w:pPr>
        <w:rPr>
          <w:b/>
          <w:bCs/>
          <w:sz w:val="28"/>
          <w:szCs w:val="28"/>
        </w:rPr>
      </w:pPr>
    </w:p>
    <w:p w:rsidR="003E6D8F" w:rsidRPr="00783F5D" w:rsidRDefault="003E6D8F" w:rsidP="008746BB">
      <w:pPr>
        <w:rPr>
          <w:sz w:val="22"/>
          <w:szCs w:val="22"/>
        </w:rPr>
      </w:pPr>
    </w:p>
    <w:sectPr w:rsidR="003E6D8F" w:rsidRPr="00783F5D" w:rsidSect="003A22BC">
      <w:pgSz w:w="11906" w:h="16838"/>
      <w:pgMar w:top="1418" w:right="1418" w:bottom="1135"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93" w:rsidRDefault="00CF7793">
      <w:r>
        <w:separator/>
      </w:r>
    </w:p>
  </w:endnote>
  <w:endnote w:type="continuationSeparator" w:id="0">
    <w:p w:rsidR="00CF7793" w:rsidRDefault="00CF77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T">
    <w:altName w:val="Lucida Sans Unico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93" w:rsidRDefault="00CF7793">
      <w:r>
        <w:separator/>
      </w:r>
    </w:p>
  </w:footnote>
  <w:footnote w:type="continuationSeparator" w:id="0">
    <w:p w:rsidR="00CF7793" w:rsidRDefault="00CF7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86A0A8"/>
    <w:lvl w:ilvl="0">
      <w:numFmt w:val="bullet"/>
      <w:lvlText w:val="*"/>
      <w:lvlJc w:val="left"/>
    </w:lvl>
  </w:abstractNum>
  <w:abstractNum w:abstractNumId="1">
    <w:nsid w:val="0133398C"/>
    <w:multiLevelType w:val="hybridMultilevel"/>
    <w:tmpl w:val="183E6D18"/>
    <w:lvl w:ilvl="0" w:tplc="710447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CB001A"/>
    <w:multiLevelType w:val="hybridMultilevel"/>
    <w:tmpl w:val="8508EF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091385F"/>
    <w:multiLevelType w:val="hybridMultilevel"/>
    <w:tmpl w:val="DF9E5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172148"/>
    <w:multiLevelType w:val="multilevel"/>
    <w:tmpl w:val="E8FA3E7C"/>
    <w:lvl w:ilvl="0">
      <w:start w:val="1"/>
      <w:numFmt w:val="bullet"/>
      <w:lvlText w:val=""/>
      <w:lvlJc w:val="left"/>
      <w:pPr>
        <w:tabs>
          <w:tab w:val="num" w:pos="510"/>
        </w:tabs>
        <w:ind w:left="510" w:hanging="226"/>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C6751A9"/>
    <w:multiLevelType w:val="hybridMultilevel"/>
    <w:tmpl w:val="F4E6C79E"/>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384093"/>
    <w:multiLevelType w:val="hybridMultilevel"/>
    <w:tmpl w:val="F1FE62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2136CE3"/>
    <w:multiLevelType w:val="hybridMultilevel"/>
    <w:tmpl w:val="0B36517E"/>
    <w:lvl w:ilvl="0" w:tplc="28C45BC0">
      <w:start w:val="1"/>
      <w:numFmt w:val="bullet"/>
      <w:lvlText w:val=""/>
      <w:lvlJc w:val="left"/>
      <w:pPr>
        <w:tabs>
          <w:tab w:val="num" w:pos="510"/>
        </w:tabs>
        <w:ind w:left="510" w:hanging="226"/>
      </w:pPr>
      <w:rPr>
        <w:rFonts w:ascii="Symbol" w:hAnsi="Symbol" w:hint="default"/>
        <w:b w:val="0"/>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36648DC"/>
    <w:multiLevelType w:val="hybridMultilevel"/>
    <w:tmpl w:val="CA7C7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4D1358"/>
    <w:multiLevelType w:val="hybridMultilevel"/>
    <w:tmpl w:val="8FE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BF872F2"/>
    <w:multiLevelType w:val="hybridMultilevel"/>
    <w:tmpl w:val="27C28578"/>
    <w:lvl w:ilvl="0" w:tplc="4AAACB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372173"/>
    <w:multiLevelType w:val="hybridMultilevel"/>
    <w:tmpl w:val="6C740B30"/>
    <w:lvl w:ilvl="0" w:tplc="0F463A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B3F2444"/>
    <w:multiLevelType w:val="hybridMultilevel"/>
    <w:tmpl w:val="FF24A0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F01D6A"/>
    <w:multiLevelType w:val="hybridMultilevel"/>
    <w:tmpl w:val="4FA29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7B401D"/>
    <w:multiLevelType w:val="hybridMultilevel"/>
    <w:tmpl w:val="9666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39111D"/>
    <w:multiLevelType w:val="hybridMultilevel"/>
    <w:tmpl w:val="CA501492"/>
    <w:lvl w:ilvl="0" w:tplc="2A5A48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8865EC"/>
    <w:multiLevelType w:val="hybridMultilevel"/>
    <w:tmpl w:val="A986E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330411"/>
    <w:multiLevelType w:val="hybridMultilevel"/>
    <w:tmpl w:val="419C743A"/>
    <w:lvl w:ilvl="0" w:tplc="4CC220BC">
      <w:start w:val="1"/>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DC94CA1"/>
    <w:multiLevelType w:val="hybridMultilevel"/>
    <w:tmpl w:val="033C8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EB7C3A"/>
    <w:multiLevelType w:val="hybridMultilevel"/>
    <w:tmpl w:val="95CC62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DE1A1C"/>
    <w:multiLevelType w:val="hybridMultilevel"/>
    <w:tmpl w:val="C5ECA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921ADB"/>
    <w:multiLevelType w:val="hybridMultilevel"/>
    <w:tmpl w:val="FE46922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EFD06F7"/>
    <w:multiLevelType w:val="hybridMultilevel"/>
    <w:tmpl w:val="CC2A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2"/>
  </w:num>
  <w:num w:numId="5">
    <w:abstractNumId w:val="22"/>
  </w:num>
  <w:num w:numId="6">
    <w:abstractNumId w:val="15"/>
  </w:num>
  <w:num w:numId="7">
    <w:abstractNumId w:val="23"/>
  </w:num>
  <w:num w:numId="8">
    <w:abstractNumId w:val="16"/>
  </w:num>
  <w:num w:numId="9">
    <w:abstractNumId w:val="14"/>
  </w:num>
  <w:num w:numId="10">
    <w:abstractNumId w:val="9"/>
  </w:num>
  <w:num w:numId="11">
    <w:abstractNumId w:val="1"/>
  </w:num>
  <w:num w:numId="12">
    <w:abstractNumId w:val="21"/>
  </w:num>
  <w:num w:numId="13">
    <w:abstractNumId w:val="0"/>
    <w:lvlOverride w:ilvl="0">
      <w:lvl w:ilvl="0">
        <w:numFmt w:val="bullet"/>
        <w:lvlText w:val=""/>
        <w:legacy w:legacy="1" w:legacySpace="0" w:legacyIndent="0"/>
        <w:lvlJc w:val="left"/>
        <w:rPr>
          <w:rFonts w:ascii="Wingdings" w:hAnsi="Wingdings" w:hint="default"/>
        </w:rPr>
      </w:lvl>
    </w:lvlOverride>
  </w:num>
  <w:num w:numId="14">
    <w:abstractNumId w:val="20"/>
  </w:num>
  <w:num w:numId="15">
    <w:abstractNumId w:val="6"/>
  </w:num>
  <w:num w:numId="16">
    <w:abstractNumId w:val="11"/>
  </w:num>
  <w:num w:numId="17">
    <w:abstractNumId w:val="3"/>
  </w:num>
  <w:num w:numId="18">
    <w:abstractNumId w:val="18"/>
  </w:num>
  <w:num w:numId="19">
    <w:abstractNumId w:val="19"/>
  </w:num>
  <w:num w:numId="20">
    <w:abstractNumId w:val="17"/>
  </w:num>
  <w:num w:numId="21">
    <w:abstractNumId w:val="8"/>
  </w:num>
  <w:num w:numId="22">
    <w:abstractNumId w:val="5"/>
  </w:num>
  <w:num w:numId="23">
    <w:abstractNumId w:val="13"/>
  </w:num>
  <w:num w:numId="2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86017"/>
  </w:hdrShapeDefaults>
  <w:footnotePr>
    <w:footnote w:id="-1"/>
    <w:footnote w:id="0"/>
  </w:footnotePr>
  <w:endnotePr>
    <w:endnote w:id="-1"/>
    <w:endnote w:id="0"/>
  </w:endnotePr>
  <w:compat/>
  <w:rsids>
    <w:rsidRoot w:val="003E02F0"/>
    <w:rsid w:val="000055EB"/>
    <w:rsid w:val="00006D79"/>
    <w:rsid w:val="00023DEF"/>
    <w:rsid w:val="000300CC"/>
    <w:rsid w:val="00031786"/>
    <w:rsid w:val="0003189A"/>
    <w:rsid w:val="00034366"/>
    <w:rsid w:val="00034CB4"/>
    <w:rsid w:val="00035D5B"/>
    <w:rsid w:val="00037390"/>
    <w:rsid w:val="00075A5B"/>
    <w:rsid w:val="00075C4A"/>
    <w:rsid w:val="000867E0"/>
    <w:rsid w:val="00087BE7"/>
    <w:rsid w:val="00093283"/>
    <w:rsid w:val="00095310"/>
    <w:rsid w:val="0009747F"/>
    <w:rsid w:val="000B174B"/>
    <w:rsid w:val="000B42E8"/>
    <w:rsid w:val="000C15ED"/>
    <w:rsid w:val="000C390B"/>
    <w:rsid w:val="000C46F8"/>
    <w:rsid w:val="000C4995"/>
    <w:rsid w:val="000D3AAA"/>
    <w:rsid w:val="000D5E26"/>
    <w:rsid w:val="000E706B"/>
    <w:rsid w:val="000F1556"/>
    <w:rsid w:val="000F74A0"/>
    <w:rsid w:val="00101690"/>
    <w:rsid w:val="0010231C"/>
    <w:rsid w:val="00102B4A"/>
    <w:rsid w:val="00104363"/>
    <w:rsid w:val="00107463"/>
    <w:rsid w:val="00107976"/>
    <w:rsid w:val="00113480"/>
    <w:rsid w:val="00115871"/>
    <w:rsid w:val="00117F29"/>
    <w:rsid w:val="00124136"/>
    <w:rsid w:val="00125A7A"/>
    <w:rsid w:val="00133D59"/>
    <w:rsid w:val="001357C2"/>
    <w:rsid w:val="001372DA"/>
    <w:rsid w:val="001532CC"/>
    <w:rsid w:val="001564BA"/>
    <w:rsid w:val="001609A7"/>
    <w:rsid w:val="001661F2"/>
    <w:rsid w:val="001704C4"/>
    <w:rsid w:val="00170F43"/>
    <w:rsid w:val="00171129"/>
    <w:rsid w:val="00173892"/>
    <w:rsid w:val="00173C06"/>
    <w:rsid w:val="00173E46"/>
    <w:rsid w:val="00176773"/>
    <w:rsid w:val="00183853"/>
    <w:rsid w:val="001866B0"/>
    <w:rsid w:val="00186FC0"/>
    <w:rsid w:val="001914D8"/>
    <w:rsid w:val="0019491E"/>
    <w:rsid w:val="001A723F"/>
    <w:rsid w:val="001D4033"/>
    <w:rsid w:val="001D6D13"/>
    <w:rsid w:val="001D7D8B"/>
    <w:rsid w:val="001E1712"/>
    <w:rsid w:val="001E3DCA"/>
    <w:rsid w:val="001E4A05"/>
    <w:rsid w:val="001F04CF"/>
    <w:rsid w:val="00203EA4"/>
    <w:rsid w:val="00205AF3"/>
    <w:rsid w:val="00206FCA"/>
    <w:rsid w:val="00211CD6"/>
    <w:rsid w:val="002127BD"/>
    <w:rsid w:val="002155E7"/>
    <w:rsid w:val="00223172"/>
    <w:rsid w:val="002312C3"/>
    <w:rsid w:val="00233EEB"/>
    <w:rsid w:val="002347F6"/>
    <w:rsid w:val="00245F77"/>
    <w:rsid w:val="002461A8"/>
    <w:rsid w:val="002517E8"/>
    <w:rsid w:val="00252F83"/>
    <w:rsid w:val="00262300"/>
    <w:rsid w:val="00263CEA"/>
    <w:rsid w:val="00264B4E"/>
    <w:rsid w:val="002727EB"/>
    <w:rsid w:val="00275FBA"/>
    <w:rsid w:val="00281809"/>
    <w:rsid w:val="0028334C"/>
    <w:rsid w:val="00294183"/>
    <w:rsid w:val="002A0140"/>
    <w:rsid w:val="002A7D19"/>
    <w:rsid w:val="002B3535"/>
    <w:rsid w:val="002B4F5C"/>
    <w:rsid w:val="002E1030"/>
    <w:rsid w:val="002E4F78"/>
    <w:rsid w:val="002E6F08"/>
    <w:rsid w:val="002F211C"/>
    <w:rsid w:val="002F45C6"/>
    <w:rsid w:val="002F4C43"/>
    <w:rsid w:val="002F6948"/>
    <w:rsid w:val="002F77B4"/>
    <w:rsid w:val="00300EB8"/>
    <w:rsid w:val="00306237"/>
    <w:rsid w:val="003125F6"/>
    <w:rsid w:val="0031268D"/>
    <w:rsid w:val="003163B7"/>
    <w:rsid w:val="00321867"/>
    <w:rsid w:val="00321D53"/>
    <w:rsid w:val="0032664E"/>
    <w:rsid w:val="003269F9"/>
    <w:rsid w:val="00327CBC"/>
    <w:rsid w:val="00334AD5"/>
    <w:rsid w:val="0034557B"/>
    <w:rsid w:val="003475FA"/>
    <w:rsid w:val="003622AD"/>
    <w:rsid w:val="00370573"/>
    <w:rsid w:val="00380F24"/>
    <w:rsid w:val="00384921"/>
    <w:rsid w:val="00386F35"/>
    <w:rsid w:val="00393726"/>
    <w:rsid w:val="003939FB"/>
    <w:rsid w:val="003A22BC"/>
    <w:rsid w:val="003B0827"/>
    <w:rsid w:val="003B13CC"/>
    <w:rsid w:val="003C1C3D"/>
    <w:rsid w:val="003C6EA1"/>
    <w:rsid w:val="003D4812"/>
    <w:rsid w:val="003E02F0"/>
    <w:rsid w:val="003E1F59"/>
    <w:rsid w:val="003E584A"/>
    <w:rsid w:val="003E6D8F"/>
    <w:rsid w:val="003E7E9C"/>
    <w:rsid w:val="004040F1"/>
    <w:rsid w:val="00414925"/>
    <w:rsid w:val="00420874"/>
    <w:rsid w:val="00430591"/>
    <w:rsid w:val="00433382"/>
    <w:rsid w:val="004343B9"/>
    <w:rsid w:val="00452969"/>
    <w:rsid w:val="004540A3"/>
    <w:rsid w:val="004559B5"/>
    <w:rsid w:val="004764DC"/>
    <w:rsid w:val="00484DB0"/>
    <w:rsid w:val="00486C35"/>
    <w:rsid w:val="00492063"/>
    <w:rsid w:val="004A294E"/>
    <w:rsid w:val="004C3DC2"/>
    <w:rsid w:val="004D0478"/>
    <w:rsid w:val="004D0FBE"/>
    <w:rsid w:val="004D1CD4"/>
    <w:rsid w:val="004E047D"/>
    <w:rsid w:val="004E53B4"/>
    <w:rsid w:val="004F7E21"/>
    <w:rsid w:val="00505219"/>
    <w:rsid w:val="005072DD"/>
    <w:rsid w:val="00516969"/>
    <w:rsid w:val="00517422"/>
    <w:rsid w:val="00517898"/>
    <w:rsid w:val="00521A13"/>
    <w:rsid w:val="00536934"/>
    <w:rsid w:val="00537D6D"/>
    <w:rsid w:val="0054123D"/>
    <w:rsid w:val="00542CFE"/>
    <w:rsid w:val="0054393D"/>
    <w:rsid w:val="00543A29"/>
    <w:rsid w:val="00552AE1"/>
    <w:rsid w:val="0056203E"/>
    <w:rsid w:val="00572CF5"/>
    <w:rsid w:val="00573305"/>
    <w:rsid w:val="00575302"/>
    <w:rsid w:val="00582F6D"/>
    <w:rsid w:val="00594602"/>
    <w:rsid w:val="0059691A"/>
    <w:rsid w:val="005A4457"/>
    <w:rsid w:val="005A5781"/>
    <w:rsid w:val="005A6E35"/>
    <w:rsid w:val="005A74A5"/>
    <w:rsid w:val="005B413D"/>
    <w:rsid w:val="005B704C"/>
    <w:rsid w:val="005C0C35"/>
    <w:rsid w:val="005C7031"/>
    <w:rsid w:val="005C7F17"/>
    <w:rsid w:val="005D3B19"/>
    <w:rsid w:val="005E711B"/>
    <w:rsid w:val="005F0F9E"/>
    <w:rsid w:val="005F1813"/>
    <w:rsid w:val="005F3172"/>
    <w:rsid w:val="005F3BE2"/>
    <w:rsid w:val="006077E4"/>
    <w:rsid w:val="0061357A"/>
    <w:rsid w:val="00621B6D"/>
    <w:rsid w:val="006270C0"/>
    <w:rsid w:val="00632401"/>
    <w:rsid w:val="00640DBA"/>
    <w:rsid w:val="006428D6"/>
    <w:rsid w:val="006705C8"/>
    <w:rsid w:val="00670B8C"/>
    <w:rsid w:val="0067553D"/>
    <w:rsid w:val="00675892"/>
    <w:rsid w:val="00676578"/>
    <w:rsid w:val="00681F03"/>
    <w:rsid w:val="006852C0"/>
    <w:rsid w:val="00696CD9"/>
    <w:rsid w:val="006A387E"/>
    <w:rsid w:val="006A5D54"/>
    <w:rsid w:val="006A6A6B"/>
    <w:rsid w:val="006B11FA"/>
    <w:rsid w:val="006C1110"/>
    <w:rsid w:val="006C6845"/>
    <w:rsid w:val="006D1320"/>
    <w:rsid w:val="006D3D05"/>
    <w:rsid w:val="006D6CB4"/>
    <w:rsid w:val="006E131C"/>
    <w:rsid w:val="006E37E7"/>
    <w:rsid w:val="006E40A9"/>
    <w:rsid w:val="006F5DD4"/>
    <w:rsid w:val="0070004B"/>
    <w:rsid w:val="00713B2E"/>
    <w:rsid w:val="0071686D"/>
    <w:rsid w:val="00716D84"/>
    <w:rsid w:val="00730055"/>
    <w:rsid w:val="007302BA"/>
    <w:rsid w:val="0073265D"/>
    <w:rsid w:val="007501BB"/>
    <w:rsid w:val="007512FA"/>
    <w:rsid w:val="00756825"/>
    <w:rsid w:val="00760C82"/>
    <w:rsid w:val="007638CE"/>
    <w:rsid w:val="007709A4"/>
    <w:rsid w:val="00772E45"/>
    <w:rsid w:val="00783A46"/>
    <w:rsid w:val="00783F5D"/>
    <w:rsid w:val="007938F0"/>
    <w:rsid w:val="007A0008"/>
    <w:rsid w:val="007A2082"/>
    <w:rsid w:val="007B007C"/>
    <w:rsid w:val="007B0994"/>
    <w:rsid w:val="007B5711"/>
    <w:rsid w:val="007B65F7"/>
    <w:rsid w:val="007C19A1"/>
    <w:rsid w:val="007C59EC"/>
    <w:rsid w:val="007C7A01"/>
    <w:rsid w:val="007D13A1"/>
    <w:rsid w:val="007D43DE"/>
    <w:rsid w:val="007E2ACB"/>
    <w:rsid w:val="007F67F3"/>
    <w:rsid w:val="00800B9C"/>
    <w:rsid w:val="0080531B"/>
    <w:rsid w:val="008255A7"/>
    <w:rsid w:val="0082599F"/>
    <w:rsid w:val="00826606"/>
    <w:rsid w:val="00831A5A"/>
    <w:rsid w:val="00834927"/>
    <w:rsid w:val="00834D81"/>
    <w:rsid w:val="00835311"/>
    <w:rsid w:val="00836163"/>
    <w:rsid w:val="00846BB9"/>
    <w:rsid w:val="0085531E"/>
    <w:rsid w:val="00856281"/>
    <w:rsid w:val="008612CE"/>
    <w:rsid w:val="00871C68"/>
    <w:rsid w:val="008746BB"/>
    <w:rsid w:val="008804E2"/>
    <w:rsid w:val="00882E69"/>
    <w:rsid w:val="008908CF"/>
    <w:rsid w:val="0089438A"/>
    <w:rsid w:val="0089775C"/>
    <w:rsid w:val="008A3FAC"/>
    <w:rsid w:val="008B1FB5"/>
    <w:rsid w:val="008B6632"/>
    <w:rsid w:val="008C6E78"/>
    <w:rsid w:val="008D02EE"/>
    <w:rsid w:val="008D4565"/>
    <w:rsid w:val="008E1589"/>
    <w:rsid w:val="008E272F"/>
    <w:rsid w:val="008E3A36"/>
    <w:rsid w:val="008F2F14"/>
    <w:rsid w:val="008F4CDA"/>
    <w:rsid w:val="008F6181"/>
    <w:rsid w:val="0090347D"/>
    <w:rsid w:val="00906049"/>
    <w:rsid w:val="0090625D"/>
    <w:rsid w:val="009066A0"/>
    <w:rsid w:val="009104E1"/>
    <w:rsid w:val="00912423"/>
    <w:rsid w:val="00913B08"/>
    <w:rsid w:val="009237C7"/>
    <w:rsid w:val="00925D32"/>
    <w:rsid w:val="009345B2"/>
    <w:rsid w:val="009453A3"/>
    <w:rsid w:val="00946F96"/>
    <w:rsid w:val="0095356E"/>
    <w:rsid w:val="00961019"/>
    <w:rsid w:val="00963D3D"/>
    <w:rsid w:val="0097121A"/>
    <w:rsid w:val="009712B1"/>
    <w:rsid w:val="009715FD"/>
    <w:rsid w:val="00973E8B"/>
    <w:rsid w:val="00984FB8"/>
    <w:rsid w:val="0099003D"/>
    <w:rsid w:val="0099381B"/>
    <w:rsid w:val="009A1EA4"/>
    <w:rsid w:val="009A1F44"/>
    <w:rsid w:val="009A4952"/>
    <w:rsid w:val="009B0845"/>
    <w:rsid w:val="009B527B"/>
    <w:rsid w:val="009C01F2"/>
    <w:rsid w:val="009C1DE9"/>
    <w:rsid w:val="009D1631"/>
    <w:rsid w:val="009D1AEE"/>
    <w:rsid w:val="009D40E3"/>
    <w:rsid w:val="009D518E"/>
    <w:rsid w:val="009E48AD"/>
    <w:rsid w:val="009F143F"/>
    <w:rsid w:val="00A0163C"/>
    <w:rsid w:val="00A01DB7"/>
    <w:rsid w:val="00A0394D"/>
    <w:rsid w:val="00A07324"/>
    <w:rsid w:val="00A1019B"/>
    <w:rsid w:val="00A20ECD"/>
    <w:rsid w:val="00A36B4F"/>
    <w:rsid w:val="00A45AF6"/>
    <w:rsid w:val="00A502F8"/>
    <w:rsid w:val="00A50F2B"/>
    <w:rsid w:val="00A5231E"/>
    <w:rsid w:val="00A52AE0"/>
    <w:rsid w:val="00A5393D"/>
    <w:rsid w:val="00A53CB0"/>
    <w:rsid w:val="00A549CD"/>
    <w:rsid w:val="00A55FEC"/>
    <w:rsid w:val="00A6437E"/>
    <w:rsid w:val="00A70A42"/>
    <w:rsid w:val="00A71244"/>
    <w:rsid w:val="00A73DA4"/>
    <w:rsid w:val="00A76864"/>
    <w:rsid w:val="00A956C6"/>
    <w:rsid w:val="00A96A47"/>
    <w:rsid w:val="00AA0C4F"/>
    <w:rsid w:val="00AB00E8"/>
    <w:rsid w:val="00AC14C8"/>
    <w:rsid w:val="00AC210E"/>
    <w:rsid w:val="00AC5322"/>
    <w:rsid w:val="00AD2CC3"/>
    <w:rsid w:val="00AD5A04"/>
    <w:rsid w:val="00AD6AA8"/>
    <w:rsid w:val="00AE5609"/>
    <w:rsid w:val="00AF2237"/>
    <w:rsid w:val="00AF2BBF"/>
    <w:rsid w:val="00AF5D60"/>
    <w:rsid w:val="00AF7301"/>
    <w:rsid w:val="00B0249E"/>
    <w:rsid w:val="00B05EF4"/>
    <w:rsid w:val="00B06754"/>
    <w:rsid w:val="00B10275"/>
    <w:rsid w:val="00B133C2"/>
    <w:rsid w:val="00B1465B"/>
    <w:rsid w:val="00B16C03"/>
    <w:rsid w:val="00B21ED3"/>
    <w:rsid w:val="00B2357F"/>
    <w:rsid w:val="00B27288"/>
    <w:rsid w:val="00B42C14"/>
    <w:rsid w:val="00B470E3"/>
    <w:rsid w:val="00B52783"/>
    <w:rsid w:val="00B55B12"/>
    <w:rsid w:val="00B62337"/>
    <w:rsid w:val="00B754D4"/>
    <w:rsid w:val="00B755AD"/>
    <w:rsid w:val="00B777B5"/>
    <w:rsid w:val="00B80E16"/>
    <w:rsid w:val="00B826D1"/>
    <w:rsid w:val="00B82BA6"/>
    <w:rsid w:val="00B83010"/>
    <w:rsid w:val="00B83B53"/>
    <w:rsid w:val="00B83E49"/>
    <w:rsid w:val="00B96BD2"/>
    <w:rsid w:val="00B96D53"/>
    <w:rsid w:val="00B970DD"/>
    <w:rsid w:val="00BA5EA8"/>
    <w:rsid w:val="00BA7E35"/>
    <w:rsid w:val="00BB2248"/>
    <w:rsid w:val="00BB3D1D"/>
    <w:rsid w:val="00BB45D6"/>
    <w:rsid w:val="00BB5D74"/>
    <w:rsid w:val="00BC2CF3"/>
    <w:rsid w:val="00BC3B49"/>
    <w:rsid w:val="00BC5228"/>
    <w:rsid w:val="00BC5F44"/>
    <w:rsid w:val="00BC6E06"/>
    <w:rsid w:val="00BD144F"/>
    <w:rsid w:val="00BD165B"/>
    <w:rsid w:val="00BD1D1F"/>
    <w:rsid w:val="00BD5CF7"/>
    <w:rsid w:val="00BD6046"/>
    <w:rsid w:val="00BD6D55"/>
    <w:rsid w:val="00BD7110"/>
    <w:rsid w:val="00BE2BF9"/>
    <w:rsid w:val="00BF0490"/>
    <w:rsid w:val="00C02A6F"/>
    <w:rsid w:val="00C03DC6"/>
    <w:rsid w:val="00C05173"/>
    <w:rsid w:val="00C0560C"/>
    <w:rsid w:val="00C1408A"/>
    <w:rsid w:val="00C144BF"/>
    <w:rsid w:val="00C17C2B"/>
    <w:rsid w:val="00C203DD"/>
    <w:rsid w:val="00C22824"/>
    <w:rsid w:val="00C24EB3"/>
    <w:rsid w:val="00C359CC"/>
    <w:rsid w:val="00C409FC"/>
    <w:rsid w:val="00C44CDE"/>
    <w:rsid w:val="00C45A94"/>
    <w:rsid w:val="00C46879"/>
    <w:rsid w:val="00C51442"/>
    <w:rsid w:val="00C518EB"/>
    <w:rsid w:val="00C551E9"/>
    <w:rsid w:val="00C628E5"/>
    <w:rsid w:val="00C63DB4"/>
    <w:rsid w:val="00C770C4"/>
    <w:rsid w:val="00C817F6"/>
    <w:rsid w:val="00C822BE"/>
    <w:rsid w:val="00C85734"/>
    <w:rsid w:val="00C90F9D"/>
    <w:rsid w:val="00CA5062"/>
    <w:rsid w:val="00CA71C7"/>
    <w:rsid w:val="00CB0A1E"/>
    <w:rsid w:val="00CB1163"/>
    <w:rsid w:val="00CB249B"/>
    <w:rsid w:val="00CB2EA0"/>
    <w:rsid w:val="00CC0FCA"/>
    <w:rsid w:val="00CC1371"/>
    <w:rsid w:val="00CC342C"/>
    <w:rsid w:val="00CC486D"/>
    <w:rsid w:val="00CC5882"/>
    <w:rsid w:val="00CC7899"/>
    <w:rsid w:val="00CD3A89"/>
    <w:rsid w:val="00CD62EA"/>
    <w:rsid w:val="00CE5886"/>
    <w:rsid w:val="00CF111D"/>
    <w:rsid w:val="00CF19D2"/>
    <w:rsid w:val="00CF3168"/>
    <w:rsid w:val="00CF7793"/>
    <w:rsid w:val="00D046A6"/>
    <w:rsid w:val="00D0774B"/>
    <w:rsid w:val="00D16C35"/>
    <w:rsid w:val="00D30976"/>
    <w:rsid w:val="00D42461"/>
    <w:rsid w:val="00D47B8D"/>
    <w:rsid w:val="00D5241A"/>
    <w:rsid w:val="00D53DAF"/>
    <w:rsid w:val="00D556E9"/>
    <w:rsid w:val="00D55EAD"/>
    <w:rsid w:val="00D6666B"/>
    <w:rsid w:val="00D71841"/>
    <w:rsid w:val="00D7670D"/>
    <w:rsid w:val="00D8245A"/>
    <w:rsid w:val="00D90407"/>
    <w:rsid w:val="00D9241B"/>
    <w:rsid w:val="00D94321"/>
    <w:rsid w:val="00D96018"/>
    <w:rsid w:val="00D974BB"/>
    <w:rsid w:val="00D975ED"/>
    <w:rsid w:val="00DA00DE"/>
    <w:rsid w:val="00DA6881"/>
    <w:rsid w:val="00DB1759"/>
    <w:rsid w:val="00DB416C"/>
    <w:rsid w:val="00DC0CCF"/>
    <w:rsid w:val="00DC2FB8"/>
    <w:rsid w:val="00DC566F"/>
    <w:rsid w:val="00DC7244"/>
    <w:rsid w:val="00DD0876"/>
    <w:rsid w:val="00DE1458"/>
    <w:rsid w:val="00DE2760"/>
    <w:rsid w:val="00DE2FA1"/>
    <w:rsid w:val="00DF292E"/>
    <w:rsid w:val="00E06A43"/>
    <w:rsid w:val="00E1072E"/>
    <w:rsid w:val="00E10B7E"/>
    <w:rsid w:val="00E11F6E"/>
    <w:rsid w:val="00E123AC"/>
    <w:rsid w:val="00E13561"/>
    <w:rsid w:val="00E14C28"/>
    <w:rsid w:val="00E232A1"/>
    <w:rsid w:val="00E26C63"/>
    <w:rsid w:val="00E27DC5"/>
    <w:rsid w:val="00E34B64"/>
    <w:rsid w:val="00E4196C"/>
    <w:rsid w:val="00E64DCB"/>
    <w:rsid w:val="00E71A13"/>
    <w:rsid w:val="00E85C7B"/>
    <w:rsid w:val="00E90119"/>
    <w:rsid w:val="00E92193"/>
    <w:rsid w:val="00E9390C"/>
    <w:rsid w:val="00E95422"/>
    <w:rsid w:val="00E97CC9"/>
    <w:rsid w:val="00EA454E"/>
    <w:rsid w:val="00EE5EE5"/>
    <w:rsid w:val="00F02EC0"/>
    <w:rsid w:val="00F057FF"/>
    <w:rsid w:val="00F06ACE"/>
    <w:rsid w:val="00F13F7F"/>
    <w:rsid w:val="00F17C9B"/>
    <w:rsid w:val="00F22148"/>
    <w:rsid w:val="00F27D38"/>
    <w:rsid w:val="00F30995"/>
    <w:rsid w:val="00F31DB1"/>
    <w:rsid w:val="00F33334"/>
    <w:rsid w:val="00F374B3"/>
    <w:rsid w:val="00F409B2"/>
    <w:rsid w:val="00F40D60"/>
    <w:rsid w:val="00F44793"/>
    <w:rsid w:val="00F54BEB"/>
    <w:rsid w:val="00F5606E"/>
    <w:rsid w:val="00F569C7"/>
    <w:rsid w:val="00F608A3"/>
    <w:rsid w:val="00F628BA"/>
    <w:rsid w:val="00F67B1B"/>
    <w:rsid w:val="00F67D19"/>
    <w:rsid w:val="00F7137B"/>
    <w:rsid w:val="00F73560"/>
    <w:rsid w:val="00F8383E"/>
    <w:rsid w:val="00F87770"/>
    <w:rsid w:val="00F92DA1"/>
    <w:rsid w:val="00FA0748"/>
    <w:rsid w:val="00FA1EBA"/>
    <w:rsid w:val="00FA25C4"/>
    <w:rsid w:val="00FA2DB0"/>
    <w:rsid w:val="00FA37D2"/>
    <w:rsid w:val="00FC6332"/>
    <w:rsid w:val="00FC7417"/>
    <w:rsid w:val="00FD243D"/>
    <w:rsid w:val="00FD3D63"/>
    <w:rsid w:val="00FD44AD"/>
    <w:rsid w:val="00FD7905"/>
    <w:rsid w:val="00FE0FE2"/>
    <w:rsid w:val="00FF1D3F"/>
    <w:rsid w:val="00FF1F89"/>
    <w:rsid w:val="00FF382C"/>
    <w:rsid w:val="00FF3A83"/>
    <w:rsid w:val="00FF45E6"/>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876"/>
    <w:rPr>
      <w:sz w:val="24"/>
      <w:szCs w:val="24"/>
      <w:lang w:val="en-GB"/>
    </w:rPr>
  </w:style>
  <w:style w:type="paragraph" w:styleId="Heading1">
    <w:name w:val="heading 1"/>
    <w:basedOn w:val="Normal"/>
    <w:next w:val="Normal"/>
    <w:link w:val="Heading1Char"/>
    <w:qFormat/>
    <w:rsid w:val="00DD0876"/>
    <w:pPr>
      <w:keepNext/>
      <w:spacing w:line="300" w:lineRule="atLeast"/>
      <w:jc w:val="center"/>
      <w:outlineLvl w:val="0"/>
    </w:pPr>
    <w:rPr>
      <w:rFonts w:ascii="CG Times (PCL6)" w:hAnsi="CG Times (PCL6)"/>
      <w:b/>
      <w:bCs/>
      <w:snapToGrid w:val="0"/>
      <w:sz w:val="22"/>
      <w:szCs w:val="22"/>
    </w:rPr>
  </w:style>
  <w:style w:type="paragraph" w:styleId="Heading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0876"/>
    <w:rPr>
      <w:color w:val="0000FF"/>
      <w:u w:val="single"/>
    </w:rPr>
  </w:style>
  <w:style w:type="paragraph" w:styleId="Header">
    <w:name w:val="header"/>
    <w:basedOn w:val="Normal"/>
    <w:rsid w:val="00DD0876"/>
    <w:pPr>
      <w:tabs>
        <w:tab w:val="center" w:pos="4536"/>
        <w:tab w:val="right" w:pos="9072"/>
      </w:tabs>
    </w:pPr>
    <w:rPr>
      <w:sz w:val="20"/>
      <w:szCs w:val="20"/>
    </w:rPr>
  </w:style>
  <w:style w:type="paragraph" w:styleId="Footer">
    <w:name w:val="footer"/>
    <w:basedOn w:val="Normal"/>
    <w:link w:val="FooterChar"/>
    <w:rsid w:val="00DD0876"/>
    <w:pPr>
      <w:tabs>
        <w:tab w:val="center" w:pos="4536"/>
        <w:tab w:val="right" w:pos="9072"/>
      </w:tabs>
    </w:pPr>
  </w:style>
  <w:style w:type="character" w:styleId="FollowedHyperlink">
    <w:name w:val="FollowedHyperlink"/>
    <w:basedOn w:val="DefaultParagraphFont"/>
    <w:rsid w:val="00DD0876"/>
    <w:rPr>
      <w:color w:val="800080"/>
      <w:u w:val="single"/>
    </w:rPr>
  </w:style>
  <w:style w:type="paragraph" w:styleId="BodyText">
    <w:name w:val="Body Text"/>
    <w:basedOn w:val="Normal"/>
    <w:rsid w:val="00DD0876"/>
    <w:pPr>
      <w:jc w:val="both"/>
    </w:pPr>
    <w:rPr>
      <w:rFonts w:ascii="Arial Narrow" w:hAnsi="Arial Narrow"/>
      <w:snapToGrid w:val="0"/>
      <w:sz w:val="22"/>
      <w:szCs w:val="22"/>
    </w:rPr>
  </w:style>
  <w:style w:type="paragraph" w:styleId="BodyTextIndent">
    <w:name w:val="Body Text Indent"/>
    <w:basedOn w:val="Normal"/>
    <w:rsid w:val="00DD0876"/>
    <w:pPr>
      <w:spacing w:after="120"/>
      <w:ind w:left="283"/>
    </w:pPr>
  </w:style>
  <w:style w:type="paragraph" w:styleId="BodyText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rsid w:val="00DD0876"/>
    <w:pPr>
      <w:spacing w:before="150" w:line="348" w:lineRule="auto"/>
    </w:pPr>
    <w:rPr>
      <w:lang w:val="fr-FR"/>
    </w:rPr>
  </w:style>
  <w:style w:type="paragraph" w:styleId="FootnoteText">
    <w:name w:val="footnote text"/>
    <w:basedOn w:val="Normal"/>
    <w:semiHidden/>
    <w:rsid w:val="00D556E9"/>
    <w:rPr>
      <w:sz w:val="20"/>
      <w:szCs w:val="20"/>
    </w:rPr>
  </w:style>
  <w:style w:type="character" w:styleId="FootnoteReference">
    <w:name w:val="footnote reference"/>
    <w:basedOn w:val="DefaultParagraphFont"/>
    <w:semiHidden/>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FooterChar">
    <w:name w:val="Footer Char"/>
    <w:link w:val="Footer"/>
    <w:rsid w:val="00117F29"/>
    <w:rPr>
      <w:sz w:val="24"/>
      <w:szCs w:val="24"/>
      <w:lang w:val="en-GB"/>
    </w:rPr>
  </w:style>
  <w:style w:type="character" w:customStyle="1" w:styleId="Heading1Char">
    <w:name w:val="Heading 1 Char"/>
    <w:basedOn w:val="DefaultParagraphFont"/>
    <w:link w:val="Heading1"/>
    <w:rsid w:val="003269F9"/>
    <w:rPr>
      <w:rFonts w:ascii="CG Times (PCL6)" w:hAnsi="CG Times (PCL6)"/>
      <w:b/>
      <w:bCs/>
      <w:snapToGrid w:val="0"/>
      <w:sz w:val="22"/>
      <w:szCs w:val="22"/>
      <w:lang w:val="en-GB"/>
    </w:rPr>
  </w:style>
  <w:style w:type="character" w:styleId="CommentReference">
    <w:name w:val="annotation reference"/>
    <w:basedOn w:val="DefaultParagraphFont"/>
    <w:unhideWhenUsed/>
    <w:rsid w:val="00772E45"/>
    <w:rPr>
      <w:sz w:val="16"/>
      <w:szCs w:val="16"/>
    </w:rPr>
  </w:style>
  <w:style w:type="paragraph" w:styleId="CommentText">
    <w:name w:val="annotation text"/>
    <w:basedOn w:val="Normal"/>
    <w:link w:val="CommentTextChar"/>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TextChar">
    <w:name w:val="Comment Text Char"/>
    <w:basedOn w:val="DefaultParagraphFont"/>
    <w:link w:val="CommentText"/>
    <w:rsid w:val="00772E45"/>
    <w:rPr>
      <w:rFonts w:ascii="Calibri" w:eastAsiaTheme="minorHAnsi" w:hAnsi="Calibri" w:cstheme="minorBidi"/>
      <w:sz w:val="22"/>
      <w:szCs w:val="22"/>
      <w:lang w:val="en-GB" w:eastAsia="en-US"/>
    </w:rPr>
  </w:style>
  <w:style w:type="paragraph" w:styleId="BalloonText">
    <w:name w:val="Balloon Text"/>
    <w:basedOn w:val="Normal"/>
    <w:link w:val="BalloonTextChar"/>
    <w:rsid w:val="00772E45"/>
    <w:rPr>
      <w:rFonts w:ascii="Tahoma" w:hAnsi="Tahoma" w:cs="Tahoma"/>
      <w:sz w:val="16"/>
      <w:szCs w:val="16"/>
    </w:rPr>
  </w:style>
  <w:style w:type="character" w:customStyle="1" w:styleId="BalloonTextChar">
    <w:name w:val="Balloon Text Char"/>
    <w:basedOn w:val="DefaultParagraphFont"/>
    <w:link w:val="BalloonText"/>
    <w:rsid w:val="00772E45"/>
    <w:rPr>
      <w:rFonts w:ascii="Tahoma" w:hAnsi="Tahoma" w:cs="Tahoma"/>
      <w:sz w:val="16"/>
      <w:szCs w:val="16"/>
      <w:lang w:val="en-GB"/>
    </w:rPr>
  </w:style>
  <w:style w:type="paragraph" w:styleId="ListParagraph">
    <w:name w:val="List Paragraph"/>
    <w:basedOn w:val="Normal"/>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CommentSubject">
    <w:name w:val="annotation subject"/>
    <w:basedOn w:val="CommentText"/>
    <w:next w:val="CommentText"/>
    <w:link w:val="CommentSubjectChar"/>
    <w:rsid w:val="00170F43"/>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CommentSubjectChar">
    <w:name w:val="Comment Subject Char"/>
    <w:basedOn w:val="CommentTextChar"/>
    <w:link w:val="CommentSubject"/>
    <w:rsid w:val="00170F43"/>
    <w:rPr>
      <w:rFonts w:ascii="Calibri" w:eastAsiaTheme="minorHAnsi" w:hAnsi="Calibri" w:cstheme="minorBidi"/>
      <w:b/>
      <w:bCs/>
      <w:sz w:val="22"/>
      <w:szCs w:val="22"/>
      <w:lang w:val="en-GB" w:eastAsia="en-US"/>
    </w:rPr>
  </w:style>
  <w:style w:type="paragraph" w:styleId="EndnoteText">
    <w:name w:val="endnote text"/>
    <w:basedOn w:val="Normal"/>
    <w:link w:val="EndnoteTextChar"/>
    <w:rsid w:val="00FD243D"/>
    <w:rPr>
      <w:sz w:val="20"/>
      <w:szCs w:val="20"/>
    </w:rPr>
  </w:style>
  <w:style w:type="character" w:customStyle="1" w:styleId="EndnoteTextChar">
    <w:name w:val="Endnote Text Char"/>
    <w:basedOn w:val="DefaultParagraphFont"/>
    <w:link w:val="EndnoteText"/>
    <w:rsid w:val="00FD243D"/>
    <w:rPr>
      <w:lang w:val="en-GB"/>
    </w:rPr>
  </w:style>
  <w:style w:type="character" w:styleId="EndnoteReference">
    <w:name w:val="endnote reference"/>
    <w:basedOn w:val="DefaultParagraphFont"/>
    <w:rsid w:val="00FD243D"/>
    <w:rPr>
      <w:vertAlign w:val="superscript"/>
    </w:rPr>
  </w:style>
  <w:style w:type="character" w:customStyle="1" w:styleId="bumpedfont15">
    <w:name w:val="bumpedfont15"/>
    <w:basedOn w:val="DefaultParagraphFont"/>
    <w:rsid w:val="00D66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876"/>
    <w:rPr>
      <w:sz w:val="24"/>
      <w:szCs w:val="24"/>
      <w:lang w:val="en-GB"/>
    </w:rPr>
  </w:style>
  <w:style w:type="paragraph" w:styleId="Titre1">
    <w:name w:val="heading 1"/>
    <w:basedOn w:val="Normal"/>
    <w:next w:val="Normal"/>
    <w:link w:val="Titre1Car"/>
    <w:qFormat/>
    <w:rsid w:val="00DD0876"/>
    <w:pPr>
      <w:keepNext/>
      <w:spacing w:line="300" w:lineRule="atLeast"/>
      <w:jc w:val="center"/>
      <w:outlineLvl w:val="0"/>
    </w:pPr>
    <w:rPr>
      <w:rFonts w:ascii="CG Times (PCL6)" w:hAnsi="CG Times (PCL6)"/>
      <w:b/>
      <w:bCs/>
      <w:snapToGrid w:val="0"/>
      <w:sz w:val="22"/>
      <w:szCs w:val="22"/>
    </w:rPr>
  </w:style>
  <w:style w:type="paragraph" w:styleId="Titre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0876"/>
    <w:rPr>
      <w:color w:val="0000FF"/>
      <w:u w:val="single"/>
    </w:rPr>
  </w:style>
  <w:style w:type="paragraph" w:styleId="En-tte">
    <w:name w:val="header"/>
    <w:basedOn w:val="Normal"/>
    <w:rsid w:val="00DD0876"/>
    <w:pPr>
      <w:tabs>
        <w:tab w:val="center" w:pos="4536"/>
        <w:tab w:val="right" w:pos="9072"/>
      </w:tabs>
    </w:pPr>
    <w:rPr>
      <w:sz w:val="20"/>
      <w:szCs w:val="20"/>
    </w:rPr>
  </w:style>
  <w:style w:type="paragraph" w:styleId="Pieddepage">
    <w:name w:val="footer"/>
    <w:basedOn w:val="Normal"/>
    <w:link w:val="PieddepageCar"/>
    <w:rsid w:val="00DD0876"/>
    <w:pPr>
      <w:tabs>
        <w:tab w:val="center" w:pos="4536"/>
        <w:tab w:val="right" w:pos="9072"/>
      </w:tabs>
    </w:pPr>
  </w:style>
  <w:style w:type="character" w:styleId="Lienhypertextesuivivisit">
    <w:name w:val="FollowedHyperlink"/>
    <w:basedOn w:val="Policepardfaut"/>
    <w:rsid w:val="00DD0876"/>
    <w:rPr>
      <w:color w:val="800080"/>
      <w:u w:val="single"/>
    </w:rPr>
  </w:style>
  <w:style w:type="paragraph" w:styleId="Corpsdetexte">
    <w:name w:val="Body Text"/>
    <w:basedOn w:val="Normal"/>
    <w:rsid w:val="00DD0876"/>
    <w:pPr>
      <w:jc w:val="both"/>
    </w:pPr>
    <w:rPr>
      <w:rFonts w:ascii="Arial Narrow" w:hAnsi="Arial Narrow"/>
      <w:snapToGrid w:val="0"/>
      <w:sz w:val="22"/>
      <w:szCs w:val="22"/>
    </w:rPr>
  </w:style>
  <w:style w:type="paragraph" w:styleId="Retraitcorpsdetexte">
    <w:name w:val="Body Text Indent"/>
    <w:basedOn w:val="Normal"/>
    <w:rsid w:val="00DD0876"/>
    <w:pPr>
      <w:spacing w:after="120"/>
      <w:ind w:left="283"/>
    </w:pPr>
  </w:style>
  <w:style w:type="paragraph" w:styleId="Corpsdetexte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rsid w:val="00DD0876"/>
    <w:pPr>
      <w:spacing w:before="150" w:line="348" w:lineRule="auto"/>
    </w:pPr>
    <w:rPr>
      <w:lang w:val="fr-FR"/>
    </w:rPr>
  </w:style>
  <w:style w:type="paragraph" w:styleId="Notedebasdepage">
    <w:name w:val="footnote text"/>
    <w:basedOn w:val="Normal"/>
    <w:semiHidden/>
    <w:rsid w:val="00D556E9"/>
    <w:rPr>
      <w:sz w:val="20"/>
      <w:szCs w:val="20"/>
    </w:rPr>
  </w:style>
  <w:style w:type="character" w:styleId="Appelnotedebasdep">
    <w:name w:val="footnote reference"/>
    <w:basedOn w:val="Policepardfaut"/>
    <w:semiHidden/>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PieddepageCar">
    <w:name w:val="Pied de page Car"/>
    <w:link w:val="Pieddepage"/>
    <w:rsid w:val="00117F29"/>
    <w:rPr>
      <w:sz w:val="24"/>
      <w:szCs w:val="24"/>
      <w:lang w:val="en-GB"/>
    </w:rPr>
  </w:style>
  <w:style w:type="character" w:customStyle="1" w:styleId="Titre1Car">
    <w:name w:val="Titre 1 Car"/>
    <w:basedOn w:val="Policepardfaut"/>
    <w:link w:val="Titre1"/>
    <w:rsid w:val="003269F9"/>
    <w:rPr>
      <w:rFonts w:ascii="CG Times (PCL6)" w:hAnsi="CG Times (PCL6)"/>
      <w:b/>
      <w:bCs/>
      <w:snapToGrid w:val="0"/>
      <w:sz w:val="22"/>
      <w:szCs w:val="22"/>
      <w:lang w:val="en-GB"/>
    </w:rPr>
  </w:style>
  <w:style w:type="character" w:styleId="Marquedecommentaire">
    <w:name w:val="annotation reference"/>
    <w:basedOn w:val="Policepardfaut"/>
    <w:unhideWhenUsed/>
    <w:rsid w:val="00772E45"/>
    <w:rPr>
      <w:sz w:val="16"/>
      <w:szCs w:val="16"/>
    </w:rPr>
  </w:style>
  <w:style w:type="paragraph" w:styleId="Commentaire">
    <w:name w:val="annotation text"/>
    <w:basedOn w:val="Normal"/>
    <w:link w:val="CommentaireCar"/>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aireCar">
    <w:name w:val="Commentaire Car"/>
    <w:basedOn w:val="Policepardfaut"/>
    <w:link w:val="Commentaire"/>
    <w:rsid w:val="00772E45"/>
    <w:rPr>
      <w:rFonts w:ascii="Calibri" w:eastAsiaTheme="minorHAnsi" w:hAnsi="Calibri" w:cstheme="minorBidi"/>
      <w:sz w:val="22"/>
      <w:szCs w:val="22"/>
      <w:lang w:val="en-GB" w:eastAsia="en-US"/>
    </w:rPr>
  </w:style>
  <w:style w:type="paragraph" w:styleId="Textedebulles">
    <w:name w:val="Balloon Text"/>
    <w:basedOn w:val="Normal"/>
    <w:link w:val="TextedebullesCar"/>
    <w:rsid w:val="00772E45"/>
    <w:rPr>
      <w:rFonts w:ascii="Tahoma" w:hAnsi="Tahoma" w:cs="Tahoma"/>
      <w:sz w:val="16"/>
      <w:szCs w:val="16"/>
    </w:rPr>
  </w:style>
  <w:style w:type="character" w:customStyle="1" w:styleId="TextedebullesCar">
    <w:name w:val="Texte de bulles Car"/>
    <w:basedOn w:val="Policepardfaut"/>
    <w:link w:val="Textedebulles"/>
    <w:rsid w:val="00772E45"/>
    <w:rPr>
      <w:rFonts w:ascii="Tahoma" w:hAnsi="Tahoma" w:cs="Tahoma"/>
      <w:sz w:val="16"/>
      <w:szCs w:val="16"/>
      <w:lang w:val="en-GB"/>
    </w:rPr>
  </w:style>
  <w:style w:type="paragraph" w:styleId="Paragraphedeliste">
    <w:name w:val="List Paragraph"/>
    <w:basedOn w:val="Normal"/>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Objetducommentaire">
    <w:name w:val="annotation subject"/>
    <w:basedOn w:val="Commentaire"/>
    <w:next w:val="Commentaire"/>
    <w:link w:val="ObjetducommentaireCar"/>
    <w:rsid w:val="00170F43"/>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ObjetducommentaireCar">
    <w:name w:val="Objet du commentaire Car"/>
    <w:basedOn w:val="CommentaireCar"/>
    <w:link w:val="Objetducommentaire"/>
    <w:rsid w:val="00170F43"/>
    <w:rPr>
      <w:rFonts w:ascii="Calibri" w:eastAsiaTheme="minorHAnsi" w:hAnsi="Calibri" w:cstheme="minorBidi"/>
      <w:b/>
      <w:bCs/>
      <w:sz w:val="22"/>
      <w:szCs w:val="22"/>
      <w:lang w:val="en-GB" w:eastAsia="en-US"/>
    </w:rPr>
  </w:style>
  <w:style w:type="paragraph" w:styleId="Notedefin">
    <w:name w:val="endnote text"/>
    <w:basedOn w:val="Normal"/>
    <w:link w:val="NotedefinCar"/>
    <w:rsid w:val="00FD243D"/>
    <w:rPr>
      <w:sz w:val="20"/>
      <w:szCs w:val="20"/>
    </w:rPr>
  </w:style>
  <w:style w:type="character" w:customStyle="1" w:styleId="NotedefinCar">
    <w:name w:val="Note de fin Car"/>
    <w:basedOn w:val="Policepardfaut"/>
    <w:link w:val="Notedefin"/>
    <w:rsid w:val="00FD243D"/>
    <w:rPr>
      <w:lang w:val="en-GB"/>
    </w:rPr>
  </w:style>
  <w:style w:type="character" w:styleId="Appeldenotedefin">
    <w:name w:val="endnote reference"/>
    <w:basedOn w:val="Policepardfaut"/>
    <w:rsid w:val="00FD243D"/>
    <w:rPr>
      <w:vertAlign w:val="superscript"/>
    </w:rPr>
  </w:style>
  <w:style w:type="character" w:customStyle="1" w:styleId="bumpedfont15">
    <w:name w:val="bumpedfont15"/>
    <w:basedOn w:val="Policepardfaut"/>
    <w:rsid w:val="00D6666B"/>
  </w:style>
</w:styles>
</file>

<file path=word/webSettings.xml><?xml version="1.0" encoding="utf-8"?>
<w:webSettings xmlns:r="http://schemas.openxmlformats.org/officeDocument/2006/relationships" xmlns:w="http://schemas.openxmlformats.org/wordprocessingml/2006/main">
  <w:divs>
    <w:div w:id="56169789">
      <w:bodyDiv w:val="1"/>
      <w:marLeft w:val="0"/>
      <w:marRight w:val="0"/>
      <w:marTop w:val="0"/>
      <w:marBottom w:val="0"/>
      <w:divBdr>
        <w:top w:val="none" w:sz="0" w:space="0" w:color="auto"/>
        <w:left w:val="none" w:sz="0" w:space="0" w:color="auto"/>
        <w:bottom w:val="none" w:sz="0" w:space="0" w:color="auto"/>
        <w:right w:val="none" w:sz="0" w:space="0" w:color="auto"/>
      </w:divBdr>
    </w:div>
    <w:div w:id="73400737">
      <w:bodyDiv w:val="1"/>
      <w:marLeft w:val="0"/>
      <w:marRight w:val="0"/>
      <w:marTop w:val="0"/>
      <w:marBottom w:val="0"/>
      <w:divBdr>
        <w:top w:val="none" w:sz="0" w:space="0" w:color="auto"/>
        <w:left w:val="none" w:sz="0" w:space="0" w:color="auto"/>
        <w:bottom w:val="none" w:sz="0" w:space="0" w:color="auto"/>
        <w:right w:val="none" w:sz="0" w:space="0" w:color="auto"/>
      </w:divBdr>
      <w:divsChild>
        <w:div w:id="1409577872">
          <w:marLeft w:val="0"/>
          <w:marRight w:val="0"/>
          <w:marTop w:val="0"/>
          <w:marBottom w:val="0"/>
          <w:divBdr>
            <w:top w:val="none" w:sz="0" w:space="0" w:color="auto"/>
            <w:left w:val="none" w:sz="0" w:space="0" w:color="auto"/>
            <w:bottom w:val="none" w:sz="0" w:space="0" w:color="auto"/>
            <w:right w:val="none" w:sz="0" w:space="0" w:color="auto"/>
          </w:divBdr>
        </w:div>
      </w:divsChild>
    </w:div>
    <w:div w:id="93013987">
      <w:bodyDiv w:val="1"/>
      <w:marLeft w:val="0"/>
      <w:marRight w:val="0"/>
      <w:marTop w:val="0"/>
      <w:marBottom w:val="0"/>
      <w:divBdr>
        <w:top w:val="none" w:sz="0" w:space="0" w:color="auto"/>
        <w:left w:val="none" w:sz="0" w:space="0" w:color="auto"/>
        <w:bottom w:val="none" w:sz="0" w:space="0" w:color="auto"/>
        <w:right w:val="none" w:sz="0" w:space="0" w:color="auto"/>
      </w:divBdr>
      <w:divsChild>
        <w:div w:id="446896176">
          <w:marLeft w:val="0"/>
          <w:marRight w:val="0"/>
          <w:marTop w:val="0"/>
          <w:marBottom w:val="0"/>
          <w:divBdr>
            <w:top w:val="none" w:sz="0" w:space="0" w:color="auto"/>
            <w:left w:val="none" w:sz="0" w:space="0" w:color="auto"/>
            <w:bottom w:val="none" w:sz="0" w:space="0" w:color="auto"/>
            <w:right w:val="none" w:sz="0" w:space="0" w:color="auto"/>
          </w:divBdr>
          <w:divsChild>
            <w:div w:id="18707598">
              <w:marLeft w:val="0"/>
              <w:marRight w:val="0"/>
              <w:marTop w:val="0"/>
              <w:marBottom w:val="0"/>
              <w:divBdr>
                <w:top w:val="none" w:sz="0" w:space="0" w:color="auto"/>
                <w:left w:val="none" w:sz="0" w:space="0" w:color="auto"/>
                <w:bottom w:val="none" w:sz="0" w:space="0" w:color="auto"/>
                <w:right w:val="none" w:sz="0" w:space="0" w:color="auto"/>
              </w:divBdr>
            </w:div>
            <w:div w:id="554125681">
              <w:marLeft w:val="0"/>
              <w:marRight w:val="0"/>
              <w:marTop w:val="0"/>
              <w:marBottom w:val="0"/>
              <w:divBdr>
                <w:top w:val="none" w:sz="0" w:space="0" w:color="auto"/>
                <w:left w:val="none" w:sz="0" w:space="0" w:color="auto"/>
                <w:bottom w:val="none" w:sz="0" w:space="0" w:color="auto"/>
                <w:right w:val="none" w:sz="0" w:space="0" w:color="auto"/>
              </w:divBdr>
            </w:div>
            <w:div w:id="1112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373">
      <w:bodyDiv w:val="1"/>
      <w:marLeft w:val="0"/>
      <w:marRight w:val="0"/>
      <w:marTop w:val="0"/>
      <w:marBottom w:val="0"/>
      <w:divBdr>
        <w:top w:val="none" w:sz="0" w:space="0" w:color="auto"/>
        <w:left w:val="none" w:sz="0" w:space="0" w:color="auto"/>
        <w:bottom w:val="none" w:sz="0" w:space="0" w:color="auto"/>
        <w:right w:val="none" w:sz="0" w:space="0" w:color="auto"/>
      </w:divBdr>
      <w:divsChild>
        <w:div w:id="1476675382">
          <w:marLeft w:val="0"/>
          <w:marRight w:val="0"/>
          <w:marTop w:val="0"/>
          <w:marBottom w:val="0"/>
          <w:divBdr>
            <w:top w:val="none" w:sz="0" w:space="0" w:color="auto"/>
            <w:left w:val="none" w:sz="0" w:space="0" w:color="auto"/>
            <w:bottom w:val="none" w:sz="0" w:space="0" w:color="auto"/>
            <w:right w:val="none" w:sz="0" w:space="0" w:color="auto"/>
          </w:divBdr>
          <w:divsChild>
            <w:div w:id="379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051">
      <w:bodyDiv w:val="1"/>
      <w:marLeft w:val="0"/>
      <w:marRight w:val="0"/>
      <w:marTop w:val="0"/>
      <w:marBottom w:val="0"/>
      <w:divBdr>
        <w:top w:val="none" w:sz="0" w:space="0" w:color="auto"/>
        <w:left w:val="none" w:sz="0" w:space="0" w:color="auto"/>
        <w:bottom w:val="none" w:sz="0" w:space="0" w:color="auto"/>
        <w:right w:val="none" w:sz="0" w:space="0" w:color="auto"/>
      </w:divBdr>
      <w:divsChild>
        <w:div w:id="465584593">
          <w:marLeft w:val="0"/>
          <w:marRight w:val="0"/>
          <w:marTop w:val="0"/>
          <w:marBottom w:val="0"/>
          <w:divBdr>
            <w:top w:val="none" w:sz="0" w:space="0" w:color="auto"/>
            <w:left w:val="none" w:sz="0" w:space="0" w:color="auto"/>
            <w:bottom w:val="none" w:sz="0" w:space="0" w:color="auto"/>
            <w:right w:val="none" w:sz="0" w:space="0" w:color="auto"/>
          </w:divBdr>
        </w:div>
      </w:divsChild>
    </w:div>
    <w:div w:id="377322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4218">
          <w:marLeft w:val="0"/>
          <w:marRight w:val="0"/>
          <w:marTop w:val="0"/>
          <w:marBottom w:val="0"/>
          <w:divBdr>
            <w:top w:val="none" w:sz="0" w:space="0" w:color="auto"/>
            <w:left w:val="none" w:sz="0" w:space="0" w:color="auto"/>
            <w:bottom w:val="none" w:sz="0" w:space="0" w:color="auto"/>
            <w:right w:val="none" w:sz="0" w:space="0" w:color="auto"/>
          </w:divBdr>
        </w:div>
      </w:divsChild>
    </w:div>
    <w:div w:id="538205240">
      <w:bodyDiv w:val="1"/>
      <w:marLeft w:val="0"/>
      <w:marRight w:val="0"/>
      <w:marTop w:val="0"/>
      <w:marBottom w:val="0"/>
      <w:divBdr>
        <w:top w:val="none" w:sz="0" w:space="0" w:color="auto"/>
        <w:left w:val="none" w:sz="0" w:space="0" w:color="auto"/>
        <w:bottom w:val="none" w:sz="0" w:space="0" w:color="auto"/>
        <w:right w:val="none" w:sz="0" w:space="0" w:color="auto"/>
      </w:divBdr>
    </w:div>
    <w:div w:id="626083146">
      <w:bodyDiv w:val="1"/>
      <w:marLeft w:val="0"/>
      <w:marRight w:val="0"/>
      <w:marTop w:val="0"/>
      <w:marBottom w:val="0"/>
      <w:divBdr>
        <w:top w:val="none" w:sz="0" w:space="0" w:color="auto"/>
        <w:left w:val="none" w:sz="0" w:space="0" w:color="auto"/>
        <w:bottom w:val="none" w:sz="0" w:space="0" w:color="auto"/>
        <w:right w:val="none" w:sz="0" w:space="0" w:color="auto"/>
      </w:divBdr>
    </w:div>
    <w:div w:id="777872782">
      <w:bodyDiv w:val="1"/>
      <w:marLeft w:val="0"/>
      <w:marRight w:val="0"/>
      <w:marTop w:val="0"/>
      <w:marBottom w:val="0"/>
      <w:divBdr>
        <w:top w:val="none" w:sz="0" w:space="0" w:color="auto"/>
        <w:left w:val="none" w:sz="0" w:space="0" w:color="auto"/>
        <w:bottom w:val="none" w:sz="0" w:space="0" w:color="auto"/>
        <w:right w:val="none" w:sz="0" w:space="0" w:color="auto"/>
      </w:divBdr>
      <w:divsChild>
        <w:div w:id="861164611">
          <w:marLeft w:val="0"/>
          <w:marRight w:val="0"/>
          <w:marTop w:val="0"/>
          <w:marBottom w:val="0"/>
          <w:divBdr>
            <w:top w:val="none" w:sz="0" w:space="0" w:color="auto"/>
            <w:left w:val="none" w:sz="0" w:space="0" w:color="auto"/>
            <w:bottom w:val="none" w:sz="0" w:space="0" w:color="auto"/>
            <w:right w:val="none" w:sz="0" w:space="0" w:color="auto"/>
          </w:divBdr>
        </w:div>
      </w:divsChild>
    </w:div>
    <w:div w:id="856843250">
      <w:bodyDiv w:val="1"/>
      <w:marLeft w:val="0"/>
      <w:marRight w:val="0"/>
      <w:marTop w:val="0"/>
      <w:marBottom w:val="0"/>
      <w:divBdr>
        <w:top w:val="none" w:sz="0" w:space="0" w:color="auto"/>
        <w:left w:val="none" w:sz="0" w:space="0" w:color="auto"/>
        <w:bottom w:val="none" w:sz="0" w:space="0" w:color="auto"/>
        <w:right w:val="none" w:sz="0" w:space="0" w:color="auto"/>
      </w:divBdr>
      <w:divsChild>
        <w:div w:id="1126041371">
          <w:marLeft w:val="0"/>
          <w:marRight w:val="0"/>
          <w:marTop w:val="0"/>
          <w:marBottom w:val="0"/>
          <w:divBdr>
            <w:top w:val="none" w:sz="0" w:space="0" w:color="auto"/>
            <w:left w:val="none" w:sz="0" w:space="0" w:color="auto"/>
            <w:bottom w:val="none" w:sz="0" w:space="0" w:color="auto"/>
            <w:right w:val="none" w:sz="0" w:space="0" w:color="auto"/>
          </w:divBdr>
        </w:div>
      </w:divsChild>
    </w:div>
    <w:div w:id="1067385119">
      <w:bodyDiv w:val="1"/>
      <w:marLeft w:val="0"/>
      <w:marRight w:val="0"/>
      <w:marTop w:val="0"/>
      <w:marBottom w:val="0"/>
      <w:divBdr>
        <w:top w:val="none" w:sz="0" w:space="0" w:color="auto"/>
        <w:left w:val="none" w:sz="0" w:space="0" w:color="auto"/>
        <w:bottom w:val="none" w:sz="0" w:space="0" w:color="auto"/>
        <w:right w:val="none" w:sz="0" w:space="0" w:color="auto"/>
      </w:divBdr>
      <w:divsChild>
        <w:div w:id="1973095803">
          <w:marLeft w:val="0"/>
          <w:marRight w:val="0"/>
          <w:marTop w:val="0"/>
          <w:marBottom w:val="0"/>
          <w:divBdr>
            <w:top w:val="none" w:sz="0" w:space="0" w:color="auto"/>
            <w:left w:val="none" w:sz="0" w:space="0" w:color="auto"/>
            <w:bottom w:val="none" w:sz="0" w:space="0" w:color="auto"/>
            <w:right w:val="none" w:sz="0" w:space="0" w:color="auto"/>
          </w:divBdr>
          <w:divsChild>
            <w:div w:id="275213334">
              <w:marLeft w:val="0"/>
              <w:marRight w:val="0"/>
              <w:marTop w:val="0"/>
              <w:marBottom w:val="0"/>
              <w:divBdr>
                <w:top w:val="none" w:sz="0" w:space="0" w:color="auto"/>
                <w:left w:val="none" w:sz="0" w:space="0" w:color="auto"/>
                <w:bottom w:val="none" w:sz="0" w:space="0" w:color="auto"/>
                <w:right w:val="none" w:sz="0" w:space="0" w:color="auto"/>
              </w:divBdr>
            </w:div>
            <w:div w:id="771324062">
              <w:marLeft w:val="0"/>
              <w:marRight w:val="0"/>
              <w:marTop w:val="0"/>
              <w:marBottom w:val="0"/>
              <w:divBdr>
                <w:top w:val="none" w:sz="0" w:space="0" w:color="auto"/>
                <w:left w:val="none" w:sz="0" w:space="0" w:color="auto"/>
                <w:bottom w:val="none" w:sz="0" w:space="0" w:color="auto"/>
                <w:right w:val="none" w:sz="0" w:space="0" w:color="auto"/>
              </w:divBdr>
            </w:div>
            <w:div w:id="1127940142">
              <w:marLeft w:val="0"/>
              <w:marRight w:val="0"/>
              <w:marTop w:val="0"/>
              <w:marBottom w:val="0"/>
              <w:divBdr>
                <w:top w:val="none" w:sz="0" w:space="0" w:color="auto"/>
                <w:left w:val="none" w:sz="0" w:space="0" w:color="auto"/>
                <w:bottom w:val="none" w:sz="0" w:space="0" w:color="auto"/>
                <w:right w:val="none" w:sz="0" w:space="0" w:color="auto"/>
              </w:divBdr>
            </w:div>
            <w:div w:id="1549024523">
              <w:marLeft w:val="0"/>
              <w:marRight w:val="0"/>
              <w:marTop w:val="0"/>
              <w:marBottom w:val="0"/>
              <w:divBdr>
                <w:top w:val="none" w:sz="0" w:space="0" w:color="auto"/>
                <w:left w:val="none" w:sz="0" w:space="0" w:color="auto"/>
                <w:bottom w:val="none" w:sz="0" w:space="0" w:color="auto"/>
                <w:right w:val="none" w:sz="0" w:space="0" w:color="auto"/>
              </w:divBdr>
            </w:div>
            <w:div w:id="1703435443">
              <w:marLeft w:val="0"/>
              <w:marRight w:val="0"/>
              <w:marTop w:val="0"/>
              <w:marBottom w:val="0"/>
              <w:divBdr>
                <w:top w:val="none" w:sz="0" w:space="0" w:color="auto"/>
                <w:left w:val="none" w:sz="0" w:space="0" w:color="auto"/>
                <w:bottom w:val="none" w:sz="0" w:space="0" w:color="auto"/>
                <w:right w:val="none" w:sz="0" w:space="0" w:color="auto"/>
              </w:divBdr>
            </w:div>
            <w:div w:id="1988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6">
      <w:bodyDiv w:val="1"/>
      <w:marLeft w:val="0"/>
      <w:marRight w:val="0"/>
      <w:marTop w:val="0"/>
      <w:marBottom w:val="0"/>
      <w:divBdr>
        <w:top w:val="none" w:sz="0" w:space="0" w:color="auto"/>
        <w:left w:val="none" w:sz="0" w:space="0" w:color="auto"/>
        <w:bottom w:val="none" w:sz="0" w:space="0" w:color="auto"/>
        <w:right w:val="none" w:sz="0" w:space="0" w:color="auto"/>
      </w:divBdr>
      <w:divsChild>
        <w:div w:id="2060203500">
          <w:marLeft w:val="0"/>
          <w:marRight w:val="0"/>
          <w:marTop w:val="0"/>
          <w:marBottom w:val="0"/>
          <w:divBdr>
            <w:top w:val="none" w:sz="0" w:space="0" w:color="auto"/>
            <w:left w:val="none" w:sz="0" w:space="0" w:color="auto"/>
            <w:bottom w:val="none" w:sz="0" w:space="0" w:color="auto"/>
            <w:right w:val="none" w:sz="0" w:space="0" w:color="auto"/>
          </w:divBdr>
          <w:divsChild>
            <w:div w:id="346831308">
              <w:marLeft w:val="0"/>
              <w:marRight w:val="0"/>
              <w:marTop w:val="0"/>
              <w:marBottom w:val="0"/>
              <w:divBdr>
                <w:top w:val="none" w:sz="0" w:space="0" w:color="auto"/>
                <w:left w:val="none" w:sz="0" w:space="0" w:color="auto"/>
                <w:bottom w:val="none" w:sz="0" w:space="0" w:color="auto"/>
                <w:right w:val="none" w:sz="0" w:space="0" w:color="auto"/>
              </w:divBdr>
            </w:div>
            <w:div w:id="1151674324">
              <w:marLeft w:val="0"/>
              <w:marRight w:val="0"/>
              <w:marTop w:val="0"/>
              <w:marBottom w:val="0"/>
              <w:divBdr>
                <w:top w:val="none" w:sz="0" w:space="0" w:color="auto"/>
                <w:left w:val="none" w:sz="0" w:space="0" w:color="auto"/>
                <w:bottom w:val="none" w:sz="0" w:space="0" w:color="auto"/>
                <w:right w:val="none" w:sz="0" w:space="0" w:color="auto"/>
              </w:divBdr>
            </w:div>
            <w:div w:id="1292831928">
              <w:marLeft w:val="0"/>
              <w:marRight w:val="0"/>
              <w:marTop w:val="0"/>
              <w:marBottom w:val="0"/>
              <w:divBdr>
                <w:top w:val="none" w:sz="0" w:space="0" w:color="auto"/>
                <w:left w:val="none" w:sz="0" w:space="0" w:color="auto"/>
                <w:bottom w:val="none" w:sz="0" w:space="0" w:color="auto"/>
                <w:right w:val="none" w:sz="0" w:space="0" w:color="auto"/>
              </w:divBdr>
            </w:div>
            <w:div w:id="1446117958">
              <w:marLeft w:val="0"/>
              <w:marRight w:val="0"/>
              <w:marTop w:val="0"/>
              <w:marBottom w:val="0"/>
              <w:divBdr>
                <w:top w:val="none" w:sz="0" w:space="0" w:color="auto"/>
                <w:left w:val="none" w:sz="0" w:space="0" w:color="auto"/>
                <w:bottom w:val="none" w:sz="0" w:space="0" w:color="auto"/>
                <w:right w:val="none" w:sz="0" w:space="0" w:color="auto"/>
              </w:divBdr>
            </w:div>
            <w:div w:id="1782724143">
              <w:marLeft w:val="0"/>
              <w:marRight w:val="0"/>
              <w:marTop w:val="0"/>
              <w:marBottom w:val="0"/>
              <w:divBdr>
                <w:top w:val="none" w:sz="0" w:space="0" w:color="auto"/>
                <w:left w:val="none" w:sz="0" w:space="0" w:color="auto"/>
                <w:bottom w:val="none" w:sz="0" w:space="0" w:color="auto"/>
                <w:right w:val="none" w:sz="0" w:space="0" w:color="auto"/>
              </w:divBdr>
            </w:div>
            <w:div w:id="1951280124">
              <w:marLeft w:val="0"/>
              <w:marRight w:val="0"/>
              <w:marTop w:val="0"/>
              <w:marBottom w:val="0"/>
              <w:divBdr>
                <w:top w:val="none" w:sz="0" w:space="0" w:color="auto"/>
                <w:left w:val="none" w:sz="0" w:space="0" w:color="auto"/>
                <w:bottom w:val="none" w:sz="0" w:space="0" w:color="auto"/>
                <w:right w:val="none" w:sz="0" w:space="0" w:color="auto"/>
              </w:divBdr>
            </w:div>
            <w:div w:id="20830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989">
      <w:bodyDiv w:val="1"/>
      <w:marLeft w:val="0"/>
      <w:marRight w:val="0"/>
      <w:marTop w:val="0"/>
      <w:marBottom w:val="0"/>
      <w:divBdr>
        <w:top w:val="none" w:sz="0" w:space="0" w:color="auto"/>
        <w:left w:val="none" w:sz="0" w:space="0" w:color="auto"/>
        <w:bottom w:val="none" w:sz="0" w:space="0" w:color="auto"/>
        <w:right w:val="none" w:sz="0" w:space="0" w:color="auto"/>
      </w:divBdr>
      <w:divsChild>
        <w:div w:id="1342202098">
          <w:marLeft w:val="0"/>
          <w:marRight w:val="0"/>
          <w:marTop w:val="0"/>
          <w:marBottom w:val="0"/>
          <w:divBdr>
            <w:top w:val="none" w:sz="0" w:space="0" w:color="auto"/>
            <w:left w:val="none" w:sz="0" w:space="0" w:color="auto"/>
            <w:bottom w:val="none" w:sz="0" w:space="0" w:color="auto"/>
            <w:right w:val="none" w:sz="0" w:space="0" w:color="auto"/>
          </w:divBdr>
          <w:divsChild>
            <w:div w:id="668171181">
              <w:marLeft w:val="0"/>
              <w:marRight w:val="0"/>
              <w:marTop w:val="0"/>
              <w:marBottom w:val="0"/>
              <w:divBdr>
                <w:top w:val="none" w:sz="0" w:space="0" w:color="auto"/>
                <w:left w:val="none" w:sz="0" w:space="0" w:color="auto"/>
                <w:bottom w:val="none" w:sz="0" w:space="0" w:color="auto"/>
                <w:right w:val="none" w:sz="0" w:space="0" w:color="auto"/>
              </w:divBdr>
            </w:div>
            <w:div w:id="1870560756">
              <w:marLeft w:val="0"/>
              <w:marRight w:val="0"/>
              <w:marTop w:val="0"/>
              <w:marBottom w:val="0"/>
              <w:divBdr>
                <w:top w:val="none" w:sz="0" w:space="0" w:color="auto"/>
                <w:left w:val="none" w:sz="0" w:space="0" w:color="auto"/>
                <w:bottom w:val="none" w:sz="0" w:space="0" w:color="auto"/>
                <w:right w:val="none" w:sz="0" w:space="0" w:color="auto"/>
              </w:divBdr>
            </w:div>
            <w:div w:id="1874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20">
      <w:bodyDiv w:val="1"/>
      <w:marLeft w:val="0"/>
      <w:marRight w:val="0"/>
      <w:marTop w:val="0"/>
      <w:marBottom w:val="0"/>
      <w:divBdr>
        <w:top w:val="none" w:sz="0" w:space="0" w:color="auto"/>
        <w:left w:val="none" w:sz="0" w:space="0" w:color="auto"/>
        <w:bottom w:val="none" w:sz="0" w:space="0" w:color="auto"/>
        <w:right w:val="none" w:sz="0" w:space="0" w:color="auto"/>
      </w:divBdr>
      <w:divsChild>
        <w:div w:id="357313477">
          <w:marLeft w:val="0"/>
          <w:marRight w:val="0"/>
          <w:marTop w:val="0"/>
          <w:marBottom w:val="0"/>
          <w:divBdr>
            <w:top w:val="none" w:sz="0" w:space="0" w:color="auto"/>
            <w:left w:val="none" w:sz="0" w:space="0" w:color="auto"/>
            <w:bottom w:val="none" w:sz="0" w:space="0" w:color="auto"/>
            <w:right w:val="none" w:sz="0" w:space="0" w:color="auto"/>
          </w:divBdr>
        </w:div>
      </w:divsChild>
    </w:div>
    <w:div w:id="1148280843">
      <w:bodyDiv w:val="1"/>
      <w:marLeft w:val="0"/>
      <w:marRight w:val="0"/>
      <w:marTop w:val="0"/>
      <w:marBottom w:val="0"/>
      <w:divBdr>
        <w:top w:val="none" w:sz="0" w:space="0" w:color="auto"/>
        <w:left w:val="none" w:sz="0" w:space="0" w:color="auto"/>
        <w:bottom w:val="none" w:sz="0" w:space="0" w:color="auto"/>
        <w:right w:val="none" w:sz="0" w:space="0" w:color="auto"/>
      </w:divBdr>
      <w:divsChild>
        <w:div w:id="3899316">
          <w:marLeft w:val="0"/>
          <w:marRight w:val="0"/>
          <w:marTop w:val="0"/>
          <w:marBottom w:val="0"/>
          <w:divBdr>
            <w:top w:val="none" w:sz="0" w:space="0" w:color="auto"/>
            <w:left w:val="none" w:sz="0" w:space="0" w:color="auto"/>
            <w:bottom w:val="none" w:sz="0" w:space="0" w:color="auto"/>
            <w:right w:val="none" w:sz="0" w:space="0" w:color="auto"/>
          </w:divBdr>
        </w:div>
      </w:divsChild>
    </w:div>
    <w:div w:id="1204518055">
      <w:bodyDiv w:val="1"/>
      <w:marLeft w:val="0"/>
      <w:marRight w:val="0"/>
      <w:marTop w:val="0"/>
      <w:marBottom w:val="0"/>
      <w:divBdr>
        <w:top w:val="none" w:sz="0" w:space="0" w:color="auto"/>
        <w:left w:val="none" w:sz="0" w:space="0" w:color="auto"/>
        <w:bottom w:val="none" w:sz="0" w:space="0" w:color="auto"/>
        <w:right w:val="none" w:sz="0" w:space="0" w:color="auto"/>
      </w:divBdr>
      <w:divsChild>
        <w:div w:id="765492451">
          <w:marLeft w:val="0"/>
          <w:marRight w:val="0"/>
          <w:marTop w:val="0"/>
          <w:marBottom w:val="0"/>
          <w:divBdr>
            <w:top w:val="none" w:sz="0" w:space="0" w:color="auto"/>
            <w:left w:val="none" w:sz="0" w:space="0" w:color="auto"/>
            <w:bottom w:val="none" w:sz="0" w:space="0" w:color="auto"/>
            <w:right w:val="none" w:sz="0" w:space="0" w:color="auto"/>
          </w:divBdr>
          <w:divsChild>
            <w:div w:id="1478184002">
              <w:marLeft w:val="0"/>
              <w:marRight w:val="0"/>
              <w:marTop w:val="0"/>
              <w:marBottom w:val="0"/>
              <w:divBdr>
                <w:top w:val="none" w:sz="0" w:space="0" w:color="auto"/>
                <w:left w:val="none" w:sz="0" w:space="0" w:color="auto"/>
                <w:bottom w:val="none" w:sz="0" w:space="0" w:color="auto"/>
                <w:right w:val="none" w:sz="0" w:space="0" w:color="auto"/>
              </w:divBdr>
            </w:div>
            <w:div w:id="17309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371">
      <w:bodyDiv w:val="1"/>
      <w:marLeft w:val="0"/>
      <w:marRight w:val="0"/>
      <w:marTop w:val="0"/>
      <w:marBottom w:val="0"/>
      <w:divBdr>
        <w:top w:val="none" w:sz="0" w:space="0" w:color="auto"/>
        <w:left w:val="none" w:sz="0" w:space="0" w:color="auto"/>
        <w:bottom w:val="none" w:sz="0" w:space="0" w:color="auto"/>
        <w:right w:val="none" w:sz="0" w:space="0" w:color="auto"/>
      </w:divBdr>
      <w:divsChild>
        <w:div w:id="1645550202">
          <w:marLeft w:val="0"/>
          <w:marRight w:val="0"/>
          <w:marTop w:val="0"/>
          <w:marBottom w:val="0"/>
          <w:divBdr>
            <w:top w:val="none" w:sz="0" w:space="0" w:color="auto"/>
            <w:left w:val="none" w:sz="0" w:space="0" w:color="auto"/>
            <w:bottom w:val="none" w:sz="0" w:space="0" w:color="auto"/>
            <w:right w:val="none" w:sz="0" w:space="0" w:color="auto"/>
          </w:divBdr>
          <w:divsChild>
            <w:div w:id="153690283">
              <w:marLeft w:val="0"/>
              <w:marRight w:val="0"/>
              <w:marTop w:val="0"/>
              <w:marBottom w:val="0"/>
              <w:divBdr>
                <w:top w:val="none" w:sz="0" w:space="0" w:color="auto"/>
                <w:left w:val="none" w:sz="0" w:space="0" w:color="auto"/>
                <w:bottom w:val="none" w:sz="0" w:space="0" w:color="auto"/>
                <w:right w:val="none" w:sz="0" w:space="0" w:color="auto"/>
              </w:divBdr>
            </w:div>
            <w:div w:id="2121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695">
      <w:bodyDiv w:val="1"/>
      <w:marLeft w:val="0"/>
      <w:marRight w:val="0"/>
      <w:marTop w:val="0"/>
      <w:marBottom w:val="0"/>
      <w:divBdr>
        <w:top w:val="none" w:sz="0" w:space="0" w:color="auto"/>
        <w:left w:val="none" w:sz="0" w:space="0" w:color="auto"/>
        <w:bottom w:val="none" w:sz="0" w:space="0" w:color="auto"/>
        <w:right w:val="none" w:sz="0" w:space="0" w:color="auto"/>
      </w:divBdr>
      <w:divsChild>
        <w:div w:id="2143425990">
          <w:marLeft w:val="0"/>
          <w:marRight w:val="0"/>
          <w:marTop w:val="0"/>
          <w:marBottom w:val="0"/>
          <w:divBdr>
            <w:top w:val="none" w:sz="0" w:space="0" w:color="auto"/>
            <w:left w:val="none" w:sz="0" w:space="0" w:color="auto"/>
            <w:bottom w:val="none" w:sz="0" w:space="0" w:color="auto"/>
            <w:right w:val="none" w:sz="0" w:space="0" w:color="auto"/>
          </w:divBdr>
          <w:divsChild>
            <w:div w:id="599029782">
              <w:marLeft w:val="0"/>
              <w:marRight w:val="0"/>
              <w:marTop w:val="0"/>
              <w:marBottom w:val="0"/>
              <w:divBdr>
                <w:top w:val="none" w:sz="0" w:space="0" w:color="auto"/>
                <w:left w:val="none" w:sz="0" w:space="0" w:color="auto"/>
                <w:bottom w:val="none" w:sz="0" w:space="0" w:color="auto"/>
                <w:right w:val="none" w:sz="0" w:space="0" w:color="auto"/>
              </w:divBdr>
            </w:div>
            <w:div w:id="942224792">
              <w:marLeft w:val="0"/>
              <w:marRight w:val="0"/>
              <w:marTop w:val="0"/>
              <w:marBottom w:val="0"/>
              <w:divBdr>
                <w:top w:val="none" w:sz="0" w:space="0" w:color="auto"/>
                <w:left w:val="none" w:sz="0" w:space="0" w:color="auto"/>
                <w:bottom w:val="none" w:sz="0" w:space="0" w:color="auto"/>
                <w:right w:val="none" w:sz="0" w:space="0" w:color="auto"/>
              </w:divBdr>
            </w:div>
            <w:div w:id="1854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618">
      <w:bodyDiv w:val="1"/>
      <w:marLeft w:val="0"/>
      <w:marRight w:val="0"/>
      <w:marTop w:val="0"/>
      <w:marBottom w:val="0"/>
      <w:divBdr>
        <w:top w:val="none" w:sz="0" w:space="0" w:color="auto"/>
        <w:left w:val="none" w:sz="0" w:space="0" w:color="auto"/>
        <w:bottom w:val="none" w:sz="0" w:space="0" w:color="auto"/>
        <w:right w:val="none" w:sz="0" w:space="0" w:color="auto"/>
      </w:divBdr>
    </w:div>
    <w:div w:id="1503737749">
      <w:bodyDiv w:val="1"/>
      <w:marLeft w:val="0"/>
      <w:marRight w:val="0"/>
      <w:marTop w:val="0"/>
      <w:marBottom w:val="0"/>
      <w:divBdr>
        <w:top w:val="none" w:sz="0" w:space="0" w:color="auto"/>
        <w:left w:val="none" w:sz="0" w:space="0" w:color="auto"/>
        <w:bottom w:val="none" w:sz="0" w:space="0" w:color="auto"/>
        <w:right w:val="none" w:sz="0" w:space="0" w:color="auto"/>
      </w:divBdr>
    </w:div>
    <w:div w:id="1590624451">
      <w:bodyDiv w:val="1"/>
      <w:marLeft w:val="0"/>
      <w:marRight w:val="0"/>
      <w:marTop w:val="0"/>
      <w:marBottom w:val="0"/>
      <w:divBdr>
        <w:top w:val="none" w:sz="0" w:space="0" w:color="auto"/>
        <w:left w:val="none" w:sz="0" w:space="0" w:color="auto"/>
        <w:bottom w:val="none" w:sz="0" w:space="0" w:color="auto"/>
        <w:right w:val="none" w:sz="0" w:space="0" w:color="auto"/>
      </w:divBdr>
      <w:divsChild>
        <w:div w:id="1617176364">
          <w:marLeft w:val="0"/>
          <w:marRight w:val="0"/>
          <w:marTop w:val="0"/>
          <w:marBottom w:val="0"/>
          <w:divBdr>
            <w:top w:val="none" w:sz="0" w:space="0" w:color="auto"/>
            <w:left w:val="none" w:sz="0" w:space="0" w:color="auto"/>
            <w:bottom w:val="none" w:sz="0" w:space="0" w:color="auto"/>
            <w:right w:val="none" w:sz="0" w:space="0" w:color="auto"/>
          </w:divBdr>
          <w:divsChild>
            <w:div w:id="38434318">
              <w:marLeft w:val="0"/>
              <w:marRight w:val="0"/>
              <w:marTop w:val="0"/>
              <w:marBottom w:val="0"/>
              <w:divBdr>
                <w:top w:val="none" w:sz="0" w:space="0" w:color="auto"/>
                <w:left w:val="none" w:sz="0" w:space="0" w:color="auto"/>
                <w:bottom w:val="none" w:sz="0" w:space="0" w:color="auto"/>
                <w:right w:val="none" w:sz="0" w:space="0" w:color="auto"/>
              </w:divBdr>
            </w:div>
            <w:div w:id="600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498">
      <w:bodyDiv w:val="1"/>
      <w:marLeft w:val="0"/>
      <w:marRight w:val="0"/>
      <w:marTop w:val="0"/>
      <w:marBottom w:val="0"/>
      <w:divBdr>
        <w:top w:val="none" w:sz="0" w:space="0" w:color="auto"/>
        <w:left w:val="none" w:sz="0" w:space="0" w:color="auto"/>
        <w:bottom w:val="none" w:sz="0" w:space="0" w:color="auto"/>
        <w:right w:val="none" w:sz="0" w:space="0" w:color="auto"/>
      </w:divBdr>
      <w:divsChild>
        <w:div w:id="267465377">
          <w:marLeft w:val="0"/>
          <w:marRight w:val="0"/>
          <w:marTop w:val="0"/>
          <w:marBottom w:val="0"/>
          <w:divBdr>
            <w:top w:val="none" w:sz="0" w:space="0" w:color="auto"/>
            <w:left w:val="none" w:sz="0" w:space="0" w:color="auto"/>
            <w:bottom w:val="none" w:sz="0" w:space="0" w:color="auto"/>
            <w:right w:val="none" w:sz="0" w:space="0" w:color="auto"/>
          </w:divBdr>
        </w:div>
      </w:divsChild>
    </w:div>
    <w:div w:id="1628468268">
      <w:bodyDiv w:val="1"/>
      <w:marLeft w:val="0"/>
      <w:marRight w:val="0"/>
      <w:marTop w:val="0"/>
      <w:marBottom w:val="0"/>
      <w:divBdr>
        <w:top w:val="none" w:sz="0" w:space="0" w:color="auto"/>
        <w:left w:val="none" w:sz="0" w:space="0" w:color="auto"/>
        <w:bottom w:val="none" w:sz="0" w:space="0" w:color="auto"/>
        <w:right w:val="none" w:sz="0" w:space="0" w:color="auto"/>
      </w:divBdr>
    </w:div>
    <w:div w:id="1666006612">
      <w:bodyDiv w:val="1"/>
      <w:marLeft w:val="0"/>
      <w:marRight w:val="0"/>
      <w:marTop w:val="0"/>
      <w:marBottom w:val="0"/>
      <w:divBdr>
        <w:top w:val="none" w:sz="0" w:space="0" w:color="auto"/>
        <w:left w:val="none" w:sz="0" w:space="0" w:color="auto"/>
        <w:bottom w:val="none" w:sz="0" w:space="0" w:color="auto"/>
        <w:right w:val="none" w:sz="0" w:space="0" w:color="auto"/>
      </w:divBdr>
      <w:divsChild>
        <w:div w:id="1221474424">
          <w:marLeft w:val="0"/>
          <w:marRight w:val="0"/>
          <w:marTop w:val="0"/>
          <w:marBottom w:val="0"/>
          <w:divBdr>
            <w:top w:val="none" w:sz="0" w:space="0" w:color="auto"/>
            <w:left w:val="none" w:sz="0" w:space="0" w:color="auto"/>
            <w:bottom w:val="none" w:sz="0" w:space="0" w:color="auto"/>
            <w:right w:val="none" w:sz="0" w:space="0" w:color="auto"/>
          </w:divBdr>
          <w:divsChild>
            <w:div w:id="14964480">
              <w:marLeft w:val="0"/>
              <w:marRight w:val="0"/>
              <w:marTop w:val="0"/>
              <w:marBottom w:val="0"/>
              <w:divBdr>
                <w:top w:val="none" w:sz="0" w:space="0" w:color="auto"/>
                <w:left w:val="none" w:sz="0" w:space="0" w:color="auto"/>
                <w:bottom w:val="none" w:sz="0" w:space="0" w:color="auto"/>
                <w:right w:val="none" w:sz="0" w:space="0" w:color="auto"/>
              </w:divBdr>
            </w:div>
            <w:div w:id="163253527">
              <w:marLeft w:val="0"/>
              <w:marRight w:val="0"/>
              <w:marTop w:val="0"/>
              <w:marBottom w:val="0"/>
              <w:divBdr>
                <w:top w:val="none" w:sz="0" w:space="0" w:color="auto"/>
                <w:left w:val="none" w:sz="0" w:space="0" w:color="auto"/>
                <w:bottom w:val="none" w:sz="0" w:space="0" w:color="auto"/>
                <w:right w:val="none" w:sz="0" w:space="0" w:color="auto"/>
              </w:divBdr>
            </w:div>
            <w:div w:id="787167135">
              <w:marLeft w:val="0"/>
              <w:marRight w:val="0"/>
              <w:marTop w:val="0"/>
              <w:marBottom w:val="0"/>
              <w:divBdr>
                <w:top w:val="none" w:sz="0" w:space="0" w:color="auto"/>
                <w:left w:val="none" w:sz="0" w:space="0" w:color="auto"/>
                <w:bottom w:val="none" w:sz="0" w:space="0" w:color="auto"/>
                <w:right w:val="none" w:sz="0" w:space="0" w:color="auto"/>
              </w:divBdr>
            </w:div>
            <w:div w:id="901019059">
              <w:marLeft w:val="0"/>
              <w:marRight w:val="0"/>
              <w:marTop w:val="0"/>
              <w:marBottom w:val="0"/>
              <w:divBdr>
                <w:top w:val="none" w:sz="0" w:space="0" w:color="auto"/>
                <w:left w:val="none" w:sz="0" w:space="0" w:color="auto"/>
                <w:bottom w:val="none" w:sz="0" w:space="0" w:color="auto"/>
                <w:right w:val="none" w:sz="0" w:space="0" w:color="auto"/>
              </w:divBdr>
            </w:div>
            <w:div w:id="1790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1989">
      <w:bodyDiv w:val="1"/>
      <w:marLeft w:val="0"/>
      <w:marRight w:val="0"/>
      <w:marTop w:val="0"/>
      <w:marBottom w:val="0"/>
      <w:divBdr>
        <w:top w:val="none" w:sz="0" w:space="0" w:color="auto"/>
        <w:left w:val="none" w:sz="0" w:space="0" w:color="auto"/>
        <w:bottom w:val="none" w:sz="0" w:space="0" w:color="auto"/>
        <w:right w:val="none" w:sz="0" w:space="0" w:color="auto"/>
      </w:divBdr>
    </w:div>
    <w:div w:id="1707021325">
      <w:bodyDiv w:val="1"/>
      <w:marLeft w:val="0"/>
      <w:marRight w:val="0"/>
      <w:marTop w:val="0"/>
      <w:marBottom w:val="0"/>
      <w:divBdr>
        <w:top w:val="none" w:sz="0" w:space="0" w:color="auto"/>
        <w:left w:val="none" w:sz="0" w:space="0" w:color="auto"/>
        <w:bottom w:val="none" w:sz="0" w:space="0" w:color="auto"/>
        <w:right w:val="none" w:sz="0" w:space="0" w:color="auto"/>
      </w:divBdr>
    </w:div>
    <w:div w:id="1709645695">
      <w:bodyDiv w:val="1"/>
      <w:marLeft w:val="0"/>
      <w:marRight w:val="0"/>
      <w:marTop w:val="0"/>
      <w:marBottom w:val="0"/>
      <w:divBdr>
        <w:top w:val="none" w:sz="0" w:space="0" w:color="auto"/>
        <w:left w:val="none" w:sz="0" w:space="0" w:color="auto"/>
        <w:bottom w:val="none" w:sz="0" w:space="0" w:color="auto"/>
        <w:right w:val="none" w:sz="0" w:space="0" w:color="auto"/>
      </w:divBdr>
      <w:divsChild>
        <w:div w:id="977031927">
          <w:marLeft w:val="0"/>
          <w:marRight w:val="0"/>
          <w:marTop w:val="0"/>
          <w:marBottom w:val="0"/>
          <w:divBdr>
            <w:top w:val="none" w:sz="0" w:space="0" w:color="auto"/>
            <w:left w:val="none" w:sz="0" w:space="0" w:color="auto"/>
            <w:bottom w:val="none" w:sz="0" w:space="0" w:color="auto"/>
            <w:right w:val="none" w:sz="0" w:space="0" w:color="auto"/>
          </w:divBdr>
          <w:divsChild>
            <w:div w:id="125514783">
              <w:marLeft w:val="0"/>
              <w:marRight w:val="0"/>
              <w:marTop w:val="0"/>
              <w:marBottom w:val="0"/>
              <w:divBdr>
                <w:top w:val="none" w:sz="0" w:space="0" w:color="auto"/>
                <w:left w:val="none" w:sz="0" w:space="0" w:color="auto"/>
                <w:bottom w:val="none" w:sz="0" w:space="0" w:color="auto"/>
                <w:right w:val="none" w:sz="0" w:space="0" w:color="auto"/>
              </w:divBdr>
            </w:div>
            <w:div w:id="237709933">
              <w:marLeft w:val="0"/>
              <w:marRight w:val="0"/>
              <w:marTop w:val="0"/>
              <w:marBottom w:val="0"/>
              <w:divBdr>
                <w:top w:val="none" w:sz="0" w:space="0" w:color="auto"/>
                <w:left w:val="none" w:sz="0" w:space="0" w:color="auto"/>
                <w:bottom w:val="none" w:sz="0" w:space="0" w:color="auto"/>
                <w:right w:val="none" w:sz="0" w:space="0" w:color="auto"/>
              </w:divBdr>
            </w:div>
            <w:div w:id="803036773">
              <w:marLeft w:val="0"/>
              <w:marRight w:val="0"/>
              <w:marTop w:val="0"/>
              <w:marBottom w:val="0"/>
              <w:divBdr>
                <w:top w:val="none" w:sz="0" w:space="0" w:color="auto"/>
                <w:left w:val="none" w:sz="0" w:space="0" w:color="auto"/>
                <w:bottom w:val="none" w:sz="0" w:space="0" w:color="auto"/>
                <w:right w:val="none" w:sz="0" w:space="0" w:color="auto"/>
              </w:divBdr>
            </w:div>
            <w:div w:id="812451504">
              <w:marLeft w:val="0"/>
              <w:marRight w:val="0"/>
              <w:marTop w:val="0"/>
              <w:marBottom w:val="0"/>
              <w:divBdr>
                <w:top w:val="none" w:sz="0" w:space="0" w:color="auto"/>
                <w:left w:val="none" w:sz="0" w:space="0" w:color="auto"/>
                <w:bottom w:val="none" w:sz="0" w:space="0" w:color="auto"/>
                <w:right w:val="none" w:sz="0" w:space="0" w:color="auto"/>
              </w:divBdr>
            </w:div>
            <w:div w:id="1718624166">
              <w:marLeft w:val="0"/>
              <w:marRight w:val="0"/>
              <w:marTop w:val="0"/>
              <w:marBottom w:val="0"/>
              <w:divBdr>
                <w:top w:val="none" w:sz="0" w:space="0" w:color="auto"/>
                <w:left w:val="none" w:sz="0" w:space="0" w:color="auto"/>
                <w:bottom w:val="none" w:sz="0" w:space="0" w:color="auto"/>
                <w:right w:val="none" w:sz="0" w:space="0" w:color="auto"/>
              </w:divBdr>
            </w:div>
            <w:div w:id="19354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3590">
      <w:bodyDiv w:val="1"/>
      <w:marLeft w:val="0"/>
      <w:marRight w:val="0"/>
      <w:marTop w:val="0"/>
      <w:marBottom w:val="0"/>
      <w:divBdr>
        <w:top w:val="none" w:sz="0" w:space="0" w:color="auto"/>
        <w:left w:val="none" w:sz="0" w:space="0" w:color="auto"/>
        <w:bottom w:val="none" w:sz="0" w:space="0" w:color="auto"/>
        <w:right w:val="none" w:sz="0" w:space="0" w:color="auto"/>
      </w:divBdr>
      <w:divsChild>
        <w:div w:id="548036290">
          <w:marLeft w:val="0"/>
          <w:marRight w:val="0"/>
          <w:marTop w:val="0"/>
          <w:marBottom w:val="0"/>
          <w:divBdr>
            <w:top w:val="none" w:sz="0" w:space="0" w:color="auto"/>
            <w:left w:val="none" w:sz="0" w:space="0" w:color="auto"/>
            <w:bottom w:val="none" w:sz="0" w:space="0" w:color="auto"/>
            <w:right w:val="none" w:sz="0" w:space="0" w:color="auto"/>
          </w:divBdr>
        </w:div>
      </w:divsChild>
    </w:div>
    <w:div w:id="1997605648">
      <w:bodyDiv w:val="1"/>
      <w:marLeft w:val="0"/>
      <w:marRight w:val="0"/>
      <w:marTop w:val="0"/>
      <w:marBottom w:val="0"/>
      <w:divBdr>
        <w:top w:val="none" w:sz="0" w:space="0" w:color="auto"/>
        <w:left w:val="none" w:sz="0" w:space="0" w:color="auto"/>
        <w:bottom w:val="none" w:sz="0" w:space="0" w:color="auto"/>
        <w:right w:val="none" w:sz="0" w:space="0" w:color="auto"/>
      </w:divBdr>
    </w:div>
    <w:div w:id="20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273052307">
          <w:marLeft w:val="0"/>
          <w:marRight w:val="0"/>
          <w:marTop w:val="0"/>
          <w:marBottom w:val="0"/>
          <w:divBdr>
            <w:top w:val="none" w:sz="0" w:space="0" w:color="auto"/>
            <w:left w:val="none" w:sz="0" w:space="0" w:color="auto"/>
            <w:bottom w:val="none" w:sz="0" w:space="0" w:color="auto"/>
            <w:right w:val="none" w:sz="0" w:space="0" w:color="auto"/>
          </w:divBdr>
        </w:div>
      </w:divsChild>
    </w:div>
    <w:div w:id="2028823073">
      <w:bodyDiv w:val="1"/>
      <w:marLeft w:val="0"/>
      <w:marRight w:val="0"/>
      <w:marTop w:val="0"/>
      <w:marBottom w:val="0"/>
      <w:divBdr>
        <w:top w:val="none" w:sz="0" w:space="0" w:color="auto"/>
        <w:left w:val="none" w:sz="0" w:space="0" w:color="auto"/>
        <w:bottom w:val="none" w:sz="0" w:space="0" w:color="auto"/>
        <w:right w:val="none" w:sz="0" w:space="0" w:color="auto"/>
      </w:divBdr>
      <w:divsChild>
        <w:div w:id="300693754">
          <w:marLeft w:val="0"/>
          <w:marRight w:val="0"/>
          <w:marTop w:val="0"/>
          <w:marBottom w:val="0"/>
          <w:divBdr>
            <w:top w:val="none" w:sz="0" w:space="0" w:color="auto"/>
            <w:left w:val="none" w:sz="0" w:space="0" w:color="auto"/>
            <w:bottom w:val="none" w:sz="0" w:space="0" w:color="auto"/>
            <w:right w:val="none" w:sz="0" w:space="0" w:color="auto"/>
          </w:divBdr>
        </w:div>
      </w:divsChild>
    </w:div>
    <w:div w:id="21140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hec-ris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hec-risk.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yn.essid@edhec-ris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ocs.edhec-risk.com/mrk/000000/Press/EDHEC_Publication_EDHEC_European_ETF_Survey_2015.pdf" TargetMode="External"/><Relationship Id="rId14" Type="http://schemas.openxmlformats.org/officeDocument/2006/relationships/hyperlink" Target="http://www.edhec-ri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F1AE-B5AF-4950-BF6C-3ECB8159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1453</Words>
  <Characters>8433</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texte pour le communiqué de presse Misys plc concernant la distinction reçue par Noël Amenc</vt:lpstr>
      <vt:lpstr>Proposition de texte pour le communiqué de presse Misys plc concernant la distinction reçue par Noël Amenc</vt:lpstr>
    </vt:vector>
  </TitlesOfParts>
  <Company>misys</Company>
  <LinksUpToDate>false</LinksUpToDate>
  <CharactersWithSpaces>9867</CharactersWithSpaces>
  <SharedDoc>false</SharedDoc>
  <HLinks>
    <vt:vector size="36" baseType="variant">
      <vt:variant>
        <vt:i4>2752624</vt:i4>
      </vt:variant>
      <vt:variant>
        <vt:i4>15</vt:i4>
      </vt:variant>
      <vt:variant>
        <vt:i4>0</vt:i4>
      </vt:variant>
      <vt:variant>
        <vt:i4>5</vt:i4>
      </vt:variant>
      <vt:variant>
        <vt:lpwstr>http://www.edhec-risk.com/</vt:lpwstr>
      </vt:variant>
      <vt:variant>
        <vt:lpwstr/>
      </vt:variant>
      <vt:variant>
        <vt:i4>2752624</vt:i4>
      </vt:variant>
      <vt:variant>
        <vt:i4>12</vt:i4>
      </vt:variant>
      <vt:variant>
        <vt:i4>0</vt:i4>
      </vt:variant>
      <vt:variant>
        <vt:i4>5</vt:i4>
      </vt:variant>
      <vt:variant>
        <vt:lpwstr>http://www.edhec-risk.com/</vt:lpwstr>
      </vt:variant>
      <vt:variant>
        <vt:lpwstr/>
      </vt:variant>
      <vt:variant>
        <vt:i4>2752624</vt:i4>
      </vt:variant>
      <vt:variant>
        <vt:i4>9</vt:i4>
      </vt:variant>
      <vt:variant>
        <vt:i4>0</vt:i4>
      </vt:variant>
      <vt:variant>
        <vt:i4>5</vt:i4>
      </vt:variant>
      <vt:variant>
        <vt:lpwstr>http://www.edhec-risk.com/</vt:lpwstr>
      </vt:variant>
      <vt:variant>
        <vt:lpwstr/>
      </vt:variant>
      <vt:variant>
        <vt:i4>2293760</vt:i4>
      </vt:variant>
      <vt:variant>
        <vt:i4>6</vt:i4>
      </vt:variant>
      <vt:variant>
        <vt:i4>0</vt:i4>
      </vt:variant>
      <vt:variant>
        <vt:i4>5</vt:i4>
      </vt:variant>
      <vt:variant>
        <vt:lpwstr>mailto:severine.anjubault@edhec-risk.com</vt:lpwstr>
      </vt:variant>
      <vt:variant>
        <vt:lpwstr/>
      </vt:variant>
      <vt:variant>
        <vt:i4>3342408</vt:i4>
      </vt:variant>
      <vt:variant>
        <vt:i4>3</vt:i4>
      </vt:variant>
      <vt:variant>
        <vt:i4>0</vt:i4>
      </vt:variant>
      <vt:variant>
        <vt:i4>5</vt:i4>
      </vt:variant>
      <vt:variant>
        <vt:lpwstr>http://docs.edhec-risk.com/mrk/000000/Press/EDHEC_Publication_Response_EC_White_Paper_Pensions_F.pdf</vt:lpwstr>
      </vt:variant>
      <vt:variant>
        <vt:lpwstr/>
      </vt:variant>
      <vt:variant>
        <vt:i4>4128849</vt:i4>
      </vt:variant>
      <vt:variant>
        <vt:i4>0</vt:i4>
      </vt:variant>
      <vt:variant>
        <vt:i4>0</vt:i4>
      </vt:variant>
      <vt:variant>
        <vt:i4>5</vt:i4>
      </vt:variant>
      <vt:variant>
        <vt:lpwstr>http://docs.edhec-risk.com/mrk/000000/Press/Letter_L_Andor_EC_White_Paper_Pensions_031012.pdf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texte pour le communiqué de presse Misys plc concernant la distinction reçue par Noël Amenc</dc:title>
  <dc:creator>LaKrilof</dc:creator>
  <cp:lastModifiedBy>ESSID Carolyn</cp:lastModifiedBy>
  <cp:revision>11</cp:revision>
  <cp:lastPrinted>2016-02-23T13:56:00Z</cp:lastPrinted>
  <dcterms:created xsi:type="dcterms:W3CDTF">2016-02-23T15:02:00Z</dcterms:created>
  <dcterms:modified xsi:type="dcterms:W3CDTF">2016-03-15T12:55:00Z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