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78" w:rsidRPr="00E123AC" w:rsidRDefault="00632401">
      <w:pPr>
        <w:spacing w:line="280" w:lineRule="exact"/>
        <w:jc w:val="center"/>
        <w:rPr>
          <w:rFonts w:ascii="Arial Narrow" w:hAnsi="Arial Narrow"/>
          <w:b/>
          <w:sz w:val="26"/>
        </w:rPr>
      </w:pPr>
      <w:r w:rsidRPr="00E123AC">
        <w:rPr>
          <w:noProof/>
          <w:lang w:val="fr-FR"/>
        </w:rPr>
        <w:drawing>
          <wp:anchor distT="0" distB="0" distL="114300" distR="114300" simplePos="0" relativeHeight="251656704" behindDoc="0" locked="0" layoutInCell="1" allowOverlap="1">
            <wp:simplePos x="0" y="0"/>
            <wp:positionH relativeFrom="column">
              <wp:posOffset>1485900</wp:posOffset>
            </wp:positionH>
            <wp:positionV relativeFrom="paragraph">
              <wp:posOffset>-228600</wp:posOffset>
            </wp:positionV>
            <wp:extent cx="2171700" cy="848995"/>
            <wp:effectExtent l="19050" t="0" r="0" b="0"/>
            <wp:wrapNone/>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8" cstate="print"/>
                    <a:srcRect/>
                    <a:stretch>
                      <a:fillRect/>
                    </a:stretch>
                  </pic:blipFill>
                  <pic:spPr bwMode="auto">
                    <a:xfrm>
                      <a:off x="0" y="0"/>
                      <a:ext cx="2171700" cy="848995"/>
                    </a:xfrm>
                    <a:prstGeom prst="rect">
                      <a:avLst/>
                    </a:prstGeom>
                    <a:noFill/>
                    <a:ln w="9525">
                      <a:noFill/>
                      <a:miter lim="800000"/>
                      <a:headEnd/>
                      <a:tailEnd/>
                    </a:ln>
                  </pic:spPr>
                </pic:pic>
              </a:graphicData>
            </a:graphic>
          </wp:anchor>
        </w:drawing>
      </w:r>
    </w:p>
    <w:p w:rsidR="00C203DD" w:rsidRPr="00E123AC" w:rsidRDefault="00C203DD">
      <w:pPr>
        <w:pStyle w:val="En-tte"/>
        <w:tabs>
          <w:tab w:val="clear" w:pos="4536"/>
          <w:tab w:val="clear" w:pos="9072"/>
        </w:tabs>
        <w:rPr>
          <w:b/>
          <w:sz w:val="32"/>
        </w:rPr>
      </w:pPr>
    </w:p>
    <w:p w:rsidR="0009747F" w:rsidRPr="00E123AC" w:rsidRDefault="0009747F">
      <w:pPr>
        <w:pStyle w:val="En-tte"/>
        <w:tabs>
          <w:tab w:val="clear" w:pos="4536"/>
          <w:tab w:val="clear" w:pos="9072"/>
        </w:tabs>
        <w:rPr>
          <w:b/>
          <w:sz w:val="32"/>
        </w:rPr>
      </w:pPr>
    </w:p>
    <w:p w:rsidR="00AF2BBF" w:rsidRPr="00E123AC" w:rsidRDefault="00AF2BBF">
      <w:pPr>
        <w:pStyle w:val="En-tte"/>
        <w:tabs>
          <w:tab w:val="clear" w:pos="4536"/>
          <w:tab w:val="clear" w:pos="9072"/>
        </w:tabs>
        <w:rPr>
          <w:b/>
          <w:sz w:val="32"/>
        </w:rPr>
      </w:pPr>
    </w:p>
    <w:p w:rsidR="004D0478" w:rsidRPr="00E123AC" w:rsidRDefault="004D0478" w:rsidP="00F409B2">
      <w:pPr>
        <w:pStyle w:val="En-tte"/>
        <w:tabs>
          <w:tab w:val="clear" w:pos="4536"/>
          <w:tab w:val="clear" w:pos="9072"/>
          <w:tab w:val="right" w:pos="9000"/>
        </w:tabs>
        <w:rPr>
          <w:b/>
          <w:snapToGrid w:val="0"/>
          <w:color w:val="000000"/>
          <w:sz w:val="24"/>
        </w:rPr>
      </w:pPr>
      <w:r w:rsidRPr="00E123AC">
        <w:rPr>
          <w:b/>
          <w:bCs/>
          <w:sz w:val="24"/>
          <w:szCs w:val="24"/>
        </w:rPr>
        <w:t>Press Release</w:t>
      </w:r>
      <w:r w:rsidR="000F1556" w:rsidRPr="00E123AC">
        <w:rPr>
          <w:b/>
          <w:bCs/>
          <w:sz w:val="24"/>
          <w:szCs w:val="24"/>
        </w:rPr>
        <w:tab/>
      </w:r>
      <w:r w:rsidR="004F7E21" w:rsidRPr="00E123AC">
        <w:rPr>
          <w:b/>
          <w:bCs/>
          <w:sz w:val="24"/>
          <w:szCs w:val="24"/>
        </w:rPr>
        <w:t xml:space="preserve">London, </w:t>
      </w:r>
      <w:r w:rsidR="003E02F0" w:rsidRPr="00E123AC">
        <w:rPr>
          <w:b/>
          <w:snapToGrid w:val="0"/>
          <w:color w:val="000000"/>
          <w:sz w:val="24"/>
        </w:rPr>
        <w:t xml:space="preserve">Nice, </w:t>
      </w:r>
      <w:r w:rsidR="00211CD6" w:rsidRPr="00E123AC">
        <w:rPr>
          <w:b/>
          <w:snapToGrid w:val="0"/>
          <w:color w:val="000000"/>
          <w:sz w:val="24"/>
        </w:rPr>
        <w:t xml:space="preserve">Paris, </w:t>
      </w:r>
      <w:r w:rsidR="004F7E21" w:rsidRPr="00E123AC">
        <w:rPr>
          <w:b/>
          <w:snapToGrid w:val="0"/>
          <w:color w:val="000000"/>
          <w:sz w:val="24"/>
        </w:rPr>
        <w:t xml:space="preserve">Singapore, </w:t>
      </w:r>
      <w:r w:rsidR="0053034E">
        <w:rPr>
          <w:b/>
          <w:snapToGrid w:val="0"/>
          <w:color w:val="000000"/>
          <w:sz w:val="24"/>
        </w:rPr>
        <w:t>June 23</w:t>
      </w:r>
      <w:r w:rsidR="00D975ED" w:rsidRPr="00E123AC">
        <w:rPr>
          <w:b/>
          <w:snapToGrid w:val="0"/>
          <w:color w:val="000000"/>
          <w:sz w:val="24"/>
        </w:rPr>
        <w:t>,</w:t>
      </w:r>
      <w:r w:rsidR="004540A3" w:rsidRPr="00E123AC">
        <w:rPr>
          <w:b/>
          <w:snapToGrid w:val="0"/>
          <w:color w:val="000000"/>
          <w:sz w:val="24"/>
        </w:rPr>
        <w:t xml:space="preserve"> 20</w:t>
      </w:r>
      <w:r w:rsidR="00A76864" w:rsidRPr="00E123AC">
        <w:rPr>
          <w:b/>
          <w:snapToGrid w:val="0"/>
          <w:color w:val="000000"/>
          <w:sz w:val="24"/>
        </w:rPr>
        <w:t>1</w:t>
      </w:r>
      <w:r w:rsidR="00BC5F44">
        <w:rPr>
          <w:b/>
          <w:snapToGrid w:val="0"/>
          <w:color w:val="000000"/>
          <w:sz w:val="24"/>
        </w:rPr>
        <w:t>5</w:t>
      </w:r>
    </w:p>
    <w:p w:rsidR="00AE5609" w:rsidRPr="00E123AC" w:rsidRDefault="00AE5609" w:rsidP="00AE5609">
      <w:pPr>
        <w:autoSpaceDE w:val="0"/>
        <w:autoSpaceDN w:val="0"/>
        <w:adjustRightInd w:val="0"/>
        <w:spacing w:line="260" w:lineRule="atLeast"/>
        <w:rPr>
          <w:color w:val="000000"/>
          <w:sz w:val="22"/>
          <w:szCs w:val="22"/>
        </w:rPr>
      </w:pPr>
    </w:p>
    <w:p w:rsidR="00F40D60" w:rsidRPr="00E123AC" w:rsidRDefault="00351AD6" w:rsidP="0017374C">
      <w:pPr>
        <w:spacing w:before="240"/>
        <w:jc w:val="center"/>
        <w:rPr>
          <w:b/>
          <w:sz w:val="34"/>
          <w:szCs w:val="34"/>
        </w:rPr>
      </w:pPr>
      <w:r>
        <w:rPr>
          <w:b/>
          <w:sz w:val="34"/>
          <w:szCs w:val="34"/>
        </w:rPr>
        <w:t>Investors in smart beta ETFs satisfied, but…</w:t>
      </w:r>
      <w:r w:rsidR="00414925">
        <w:rPr>
          <w:b/>
          <w:bCs/>
          <w:color w:val="000000"/>
          <w:sz w:val="34"/>
          <w:szCs w:val="34"/>
        </w:rPr>
        <w:br/>
      </w:r>
    </w:p>
    <w:p w:rsidR="00F40D60" w:rsidRPr="00E123AC" w:rsidRDefault="00C53E55" w:rsidP="00F40D60">
      <w:pPr>
        <w:spacing w:line="280" w:lineRule="atLeast"/>
        <w:jc w:val="both"/>
        <w:rPr>
          <w:sz w:val="22"/>
          <w:szCs w:val="22"/>
          <w:lang w:eastAsia="de-DE"/>
        </w:rPr>
      </w:pPr>
      <w:r>
        <w:rPr>
          <w:sz w:val="22"/>
          <w:szCs w:val="22"/>
          <w:lang w:eastAsia="de-DE"/>
        </w:rPr>
        <w:t xml:space="preserve">In a survey of </w:t>
      </w:r>
      <w:r w:rsidR="00B34A64">
        <w:rPr>
          <w:sz w:val="22"/>
          <w:szCs w:val="22"/>
          <w:lang w:eastAsia="de-DE"/>
        </w:rPr>
        <w:t xml:space="preserve">investment professionals </w:t>
      </w:r>
      <w:r w:rsidR="00F40D60" w:rsidRPr="00E123AC">
        <w:rPr>
          <w:sz w:val="22"/>
          <w:szCs w:val="22"/>
          <w:lang w:eastAsia="de-DE"/>
        </w:rPr>
        <w:t xml:space="preserve">conducted as part of the </w:t>
      </w:r>
      <w:proofErr w:type="spellStart"/>
      <w:r w:rsidR="00F40D60" w:rsidRPr="00E123AC">
        <w:rPr>
          <w:sz w:val="22"/>
          <w:szCs w:val="22"/>
          <w:lang w:eastAsia="de-DE"/>
        </w:rPr>
        <w:t>Amundi</w:t>
      </w:r>
      <w:proofErr w:type="spellEnd"/>
      <w:r w:rsidR="00F40D60" w:rsidRPr="00E123AC">
        <w:rPr>
          <w:sz w:val="22"/>
          <w:szCs w:val="22"/>
          <w:lang w:eastAsia="de-DE"/>
        </w:rPr>
        <w:t xml:space="preserve"> ETF </w:t>
      </w:r>
      <w:r w:rsidR="00F02EC0" w:rsidRPr="00E123AC">
        <w:rPr>
          <w:sz w:val="22"/>
          <w:szCs w:val="22"/>
          <w:lang w:eastAsia="de-DE"/>
        </w:rPr>
        <w:t xml:space="preserve">&amp; Indexing </w:t>
      </w:r>
      <w:r w:rsidR="00F40D60" w:rsidRPr="00E123AC">
        <w:rPr>
          <w:sz w:val="22"/>
          <w:szCs w:val="22"/>
          <w:lang w:eastAsia="de-DE"/>
        </w:rPr>
        <w:t>research chair at EDHEC-Risk Institute on “</w:t>
      </w:r>
      <w:r w:rsidR="00DC0CCF" w:rsidRPr="00DC0CCF">
        <w:rPr>
          <w:sz w:val="22"/>
          <w:szCs w:val="22"/>
          <w:lang w:eastAsia="de-DE"/>
        </w:rPr>
        <w:t>ETF and Passive Investment Strategies</w:t>
      </w:r>
      <w:r>
        <w:rPr>
          <w:sz w:val="22"/>
          <w:szCs w:val="22"/>
          <w:lang w:eastAsia="de-DE"/>
        </w:rPr>
        <w:t>,</w:t>
      </w:r>
      <w:r w:rsidR="00F40D60" w:rsidRPr="00E123AC">
        <w:rPr>
          <w:sz w:val="22"/>
          <w:szCs w:val="22"/>
          <w:lang w:eastAsia="de-DE"/>
        </w:rPr>
        <w:t>”</w:t>
      </w:r>
      <w:r>
        <w:rPr>
          <w:sz w:val="22"/>
          <w:szCs w:val="22"/>
          <w:lang w:eastAsia="de-DE"/>
        </w:rPr>
        <w:t xml:space="preserve"> EDHEC-Risk Institute has solicited the specific views of </w:t>
      </w:r>
      <w:r w:rsidR="00B34A64" w:rsidRPr="00E123AC">
        <w:rPr>
          <w:sz w:val="22"/>
          <w:szCs w:val="22"/>
          <w:lang w:eastAsia="de-DE"/>
        </w:rPr>
        <w:t>European ETF investors</w:t>
      </w:r>
      <w:r w:rsidR="00B34A64">
        <w:rPr>
          <w:sz w:val="22"/>
          <w:szCs w:val="22"/>
          <w:lang w:eastAsia="de-DE"/>
        </w:rPr>
        <w:t xml:space="preserve"> </w:t>
      </w:r>
      <w:r>
        <w:rPr>
          <w:sz w:val="22"/>
          <w:szCs w:val="22"/>
          <w:lang w:eastAsia="de-DE"/>
        </w:rPr>
        <w:t>on “smart beta” exchange-traded funds (ETFs). This questionnaire has given rise to a study entitled “</w:t>
      </w:r>
      <w:r w:rsidRPr="00C53E55">
        <w:rPr>
          <w:i/>
          <w:sz w:val="22"/>
          <w:szCs w:val="22"/>
          <w:lang w:eastAsia="de-DE"/>
        </w:rPr>
        <w:t>Investor Interest in and Requirements for Smart Beta ETFs</w:t>
      </w:r>
      <w:r>
        <w:rPr>
          <w:sz w:val="22"/>
          <w:szCs w:val="22"/>
          <w:lang w:eastAsia="de-DE"/>
        </w:rPr>
        <w:t>.”</w:t>
      </w:r>
    </w:p>
    <w:p w:rsidR="00F40D60" w:rsidRPr="00E123AC" w:rsidRDefault="00F40D60" w:rsidP="00F40D60">
      <w:pPr>
        <w:spacing w:line="240" w:lineRule="atLeast"/>
        <w:jc w:val="both"/>
        <w:rPr>
          <w:snapToGrid w:val="0"/>
          <w:color w:val="000000"/>
          <w:sz w:val="22"/>
          <w:szCs w:val="22"/>
        </w:rPr>
      </w:pPr>
    </w:p>
    <w:p w:rsidR="00F40D60" w:rsidRPr="00E123AC" w:rsidRDefault="00B34A64" w:rsidP="00F40D60">
      <w:pPr>
        <w:spacing w:line="280" w:lineRule="atLeast"/>
        <w:jc w:val="both"/>
        <w:rPr>
          <w:snapToGrid w:val="0"/>
          <w:color w:val="000000"/>
          <w:sz w:val="22"/>
          <w:szCs w:val="22"/>
        </w:rPr>
      </w:pPr>
      <w:r>
        <w:rPr>
          <w:snapToGrid w:val="0"/>
          <w:color w:val="000000"/>
          <w:sz w:val="22"/>
          <w:szCs w:val="22"/>
        </w:rPr>
        <w:t>There are three</w:t>
      </w:r>
      <w:r w:rsidR="00F40D60" w:rsidRPr="00E123AC">
        <w:rPr>
          <w:snapToGrid w:val="0"/>
          <w:color w:val="000000"/>
          <w:sz w:val="22"/>
          <w:szCs w:val="22"/>
        </w:rPr>
        <w:t xml:space="preserve"> key findings:</w:t>
      </w:r>
    </w:p>
    <w:p w:rsidR="00E123AC" w:rsidRDefault="00E123AC" w:rsidP="00F40D60">
      <w:pPr>
        <w:spacing w:line="280" w:lineRule="atLeast"/>
        <w:jc w:val="both"/>
        <w:rPr>
          <w:snapToGrid w:val="0"/>
          <w:color w:val="000000"/>
          <w:sz w:val="22"/>
          <w:szCs w:val="22"/>
        </w:rPr>
      </w:pPr>
    </w:p>
    <w:p w:rsidR="00B34A64" w:rsidRPr="00B34A64" w:rsidRDefault="00B34A64" w:rsidP="00B34A64">
      <w:pPr>
        <w:pStyle w:val="Paragraphedeliste"/>
        <w:numPr>
          <w:ilvl w:val="0"/>
          <w:numId w:val="14"/>
        </w:numPr>
        <w:tabs>
          <w:tab w:val="clear" w:pos="709"/>
        </w:tabs>
        <w:spacing w:after="0" w:line="280" w:lineRule="atLeast"/>
        <w:ind w:left="786"/>
        <w:contextualSpacing w:val="0"/>
        <w:rPr>
          <w:rFonts w:ascii="Times New Roman" w:hAnsi="Times New Roman" w:cs="Times New Roman"/>
          <w:b/>
          <w:lang w:eastAsia="de-DE"/>
        </w:rPr>
      </w:pPr>
      <w:r>
        <w:rPr>
          <w:rFonts w:ascii="Times New Roman" w:hAnsi="Times New Roman" w:cs="Times New Roman"/>
          <w:b/>
          <w:lang w:eastAsia="de-DE"/>
        </w:rPr>
        <w:t>Those who have invested in smart beta ETFs are pleased overall: a</w:t>
      </w:r>
      <w:r w:rsidRPr="00B34A64">
        <w:rPr>
          <w:rFonts w:ascii="Times New Roman" w:hAnsi="Times New Roman" w:cs="Times New Roman"/>
          <w:b/>
          <w:lang w:eastAsia="de-DE"/>
        </w:rPr>
        <w:t>bout three-quarters (74%) of smart beta ETF users declare that they are satisfied with them</w:t>
      </w:r>
    </w:p>
    <w:p w:rsidR="00517898" w:rsidRPr="00B34A64" w:rsidRDefault="00517898" w:rsidP="00B34A64">
      <w:pPr>
        <w:spacing w:line="280" w:lineRule="atLeast"/>
        <w:jc w:val="both"/>
        <w:rPr>
          <w:sz w:val="22"/>
          <w:szCs w:val="22"/>
          <w:lang w:eastAsia="de-DE"/>
        </w:rPr>
      </w:pPr>
    </w:p>
    <w:p w:rsidR="00B34A64" w:rsidRPr="00B34A64" w:rsidRDefault="00B34A64" w:rsidP="00B34A64">
      <w:pPr>
        <w:spacing w:line="280" w:lineRule="atLeast"/>
        <w:jc w:val="both"/>
        <w:rPr>
          <w:sz w:val="22"/>
          <w:szCs w:val="22"/>
          <w:lang w:eastAsia="de-DE"/>
        </w:rPr>
      </w:pPr>
      <w:r>
        <w:rPr>
          <w:sz w:val="22"/>
          <w:szCs w:val="22"/>
          <w:lang w:eastAsia="de-DE"/>
        </w:rPr>
        <w:t>In addition</w:t>
      </w:r>
      <w:r w:rsidRPr="00B34A64">
        <w:rPr>
          <w:sz w:val="22"/>
          <w:szCs w:val="22"/>
          <w:lang w:eastAsia="de-DE"/>
        </w:rPr>
        <w:t>, when asked about their list</w:t>
      </w:r>
      <w:r>
        <w:rPr>
          <w:sz w:val="22"/>
          <w:szCs w:val="22"/>
          <w:lang w:eastAsia="de-DE"/>
        </w:rPr>
        <w:t xml:space="preserve"> </w:t>
      </w:r>
      <w:r w:rsidRPr="00B34A64">
        <w:rPr>
          <w:sz w:val="22"/>
          <w:szCs w:val="22"/>
          <w:lang w:eastAsia="de-DE"/>
        </w:rPr>
        <w:t>of top priorities for future product</w:t>
      </w:r>
      <w:r>
        <w:rPr>
          <w:sz w:val="22"/>
          <w:szCs w:val="22"/>
          <w:lang w:eastAsia="de-DE"/>
        </w:rPr>
        <w:t xml:space="preserve"> </w:t>
      </w:r>
      <w:r w:rsidRPr="00B34A64">
        <w:rPr>
          <w:sz w:val="22"/>
          <w:szCs w:val="22"/>
          <w:lang w:eastAsia="de-DE"/>
        </w:rPr>
        <w:t>development in the ETF space, smart</w:t>
      </w:r>
      <w:r>
        <w:rPr>
          <w:sz w:val="22"/>
          <w:szCs w:val="22"/>
          <w:lang w:eastAsia="de-DE"/>
        </w:rPr>
        <w:t xml:space="preserve"> </w:t>
      </w:r>
      <w:r w:rsidR="00495ED0">
        <w:rPr>
          <w:sz w:val="22"/>
          <w:szCs w:val="22"/>
          <w:lang w:eastAsia="de-DE"/>
        </w:rPr>
        <w:t>b</w:t>
      </w:r>
      <w:r w:rsidRPr="00B34A64">
        <w:rPr>
          <w:sz w:val="22"/>
          <w:szCs w:val="22"/>
          <w:lang w:eastAsia="de-DE"/>
        </w:rPr>
        <w:t>eta ETFs dominate the list of top items</w:t>
      </w:r>
      <w:r>
        <w:rPr>
          <w:sz w:val="22"/>
          <w:szCs w:val="22"/>
          <w:lang w:eastAsia="de-DE"/>
        </w:rPr>
        <w:t xml:space="preserve"> </w:t>
      </w:r>
      <w:r w:rsidRPr="00B34A64">
        <w:rPr>
          <w:sz w:val="22"/>
          <w:szCs w:val="22"/>
          <w:lang w:eastAsia="de-DE"/>
        </w:rPr>
        <w:t>mentio</w:t>
      </w:r>
      <w:r>
        <w:rPr>
          <w:sz w:val="22"/>
          <w:szCs w:val="22"/>
          <w:lang w:eastAsia="de-DE"/>
        </w:rPr>
        <w:t>ned by investors</w:t>
      </w:r>
      <w:r w:rsidRPr="00B34A64">
        <w:rPr>
          <w:sz w:val="22"/>
          <w:szCs w:val="22"/>
          <w:lang w:eastAsia="de-DE"/>
        </w:rPr>
        <w:t>.</w:t>
      </w:r>
      <w:r>
        <w:rPr>
          <w:sz w:val="22"/>
          <w:szCs w:val="22"/>
          <w:lang w:eastAsia="de-DE"/>
        </w:rPr>
        <w:t xml:space="preserve"> </w:t>
      </w:r>
      <w:r w:rsidRPr="00B34A64">
        <w:rPr>
          <w:sz w:val="22"/>
          <w:szCs w:val="22"/>
          <w:lang w:eastAsia="de-DE"/>
        </w:rPr>
        <w:t>In fact, among investors’ six biggest</w:t>
      </w:r>
      <w:r>
        <w:rPr>
          <w:sz w:val="22"/>
          <w:szCs w:val="22"/>
          <w:lang w:eastAsia="de-DE"/>
        </w:rPr>
        <w:t xml:space="preserve"> </w:t>
      </w:r>
      <w:r w:rsidRPr="00B34A64">
        <w:rPr>
          <w:sz w:val="22"/>
          <w:szCs w:val="22"/>
          <w:lang w:eastAsia="de-DE"/>
        </w:rPr>
        <w:t>priorities, four concern indices relating to</w:t>
      </w:r>
      <w:r>
        <w:rPr>
          <w:sz w:val="22"/>
          <w:szCs w:val="22"/>
          <w:lang w:eastAsia="de-DE"/>
        </w:rPr>
        <w:t xml:space="preserve"> </w:t>
      </w:r>
      <w:r w:rsidRPr="00B34A64">
        <w:rPr>
          <w:sz w:val="22"/>
          <w:szCs w:val="22"/>
          <w:lang w:eastAsia="de-DE"/>
        </w:rPr>
        <w:t>smart beta approaches, namely smart beta</w:t>
      </w:r>
      <w:r>
        <w:rPr>
          <w:sz w:val="22"/>
          <w:szCs w:val="22"/>
          <w:lang w:eastAsia="de-DE"/>
        </w:rPr>
        <w:t xml:space="preserve"> </w:t>
      </w:r>
      <w:r w:rsidRPr="00B34A64">
        <w:rPr>
          <w:sz w:val="22"/>
          <w:szCs w:val="22"/>
          <w:lang w:eastAsia="de-DE"/>
        </w:rPr>
        <w:t>equity (37%), equity factor (31%), equity</w:t>
      </w:r>
      <w:r>
        <w:rPr>
          <w:sz w:val="22"/>
          <w:szCs w:val="22"/>
          <w:lang w:eastAsia="de-DE"/>
        </w:rPr>
        <w:t xml:space="preserve"> </w:t>
      </w:r>
      <w:r w:rsidRPr="00B34A64">
        <w:rPr>
          <w:sz w:val="22"/>
          <w:szCs w:val="22"/>
          <w:lang w:eastAsia="de-DE"/>
        </w:rPr>
        <w:t>style (</w:t>
      </w:r>
      <w:r>
        <w:rPr>
          <w:sz w:val="22"/>
          <w:szCs w:val="22"/>
          <w:lang w:eastAsia="de-DE"/>
        </w:rPr>
        <w:t>29%), and smart beta bond (25%).</w:t>
      </w:r>
    </w:p>
    <w:p w:rsidR="00B34A64" w:rsidRDefault="00B34A64" w:rsidP="00B34A64">
      <w:pPr>
        <w:spacing w:line="280" w:lineRule="atLeast"/>
        <w:jc w:val="both"/>
        <w:rPr>
          <w:sz w:val="22"/>
          <w:szCs w:val="22"/>
          <w:lang w:eastAsia="de-DE"/>
        </w:rPr>
      </w:pPr>
    </w:p>
    <w:p w:rsidR="00E561C3" w:rsidRPr="00B34A64" w:rsidRDefault="00E561C3" w:rsidP="00E561C3">
      <w:pPr>
        <w:pStyle w:val="Paragraphedeliste"/>
        <w:numPr>
          <w:ilvl w:val="0"/>
          <w:numId w:val="14"/>
        </w:numPr>
        <w:tabs>
          <w:tab w:val="clear" w:pos="709"/>
        </w:tabs>
        <w:spacing w:after="0" w:line="280" w:lineRule="atLeast"/>
        <w:ind w:left="786"/>
        <w:contextualSpacing w:val="0"/>
        <w:rPr>
          <w:rFonts w:ascii="Times New Roman" w:hAnsi="Times New Roman" w:cs="Times New Roman"/>
          <w:b/>
          <w:lang w:eastAsia="de-DE"/>
        </w:rPr>
      </w:pPr>
      <w:r>
        <w:rPr>
          <w:rFonts w:ascii="Times New Roman" w:hAnsi="Times New Roman" w:cs="Times New Roman"/>
          <w:b/>
          <w:lang w:eastAsia="de-DE"/>
        </w:rPr>
        <w:t>A considerable share of investors still have concerns about these types of products</w:t>
      </w:r>
    </w:p>
    <w:p w:rsidR="00C7305F" w:rsidRPr="00B34A64" w:rsidRDefault="00C7305F" w:rsidP="00B34A64">
      <w:pPr>
        <w:spacing w:line="280" w:lineRule="atLeast"/>
        <w:jc w:val="both"/>
        <w:rPr>
          <w:sz w:val="22"/>
          <w:szCs w:val="22"/>
          <w:lang w:eastAsia="de-DE"/>
        </w:rPr>
      </w:pPr>
    </w:p>
    <w:p w:rsidR="00B34A64" w:rsidRDefault="001A78FE" w:rsidP="00B34A64">
      <w:pPr>
        <w:spacing w:line="280" w:lineRule="atLeast"/>
        <w:jc w:val="both"/>
        <w:rPr>
          <w:sz w:val="22"/>
          <w:szCs w:val="22"/>
          <w:lang w:eastAsia="de-DE"/>
        </w:rPr>
      </w:pPr>
      <w:r>
        <w:rPr>
          <w:sz w:val="22"/>
          <w:szCs w:val="22"/>
          <w:lang w:eastAsia="de-DE"/>
        </w:rPr>
        <w:t xml:space="preserve">In attempting to capture factor </w:t>
      </w:r>
      <w:proofErr w:type="spellStart"/>
      <w:r>
        <w:rPr>
          <w:sz w:val="22"/>
          <w:szCs w:val="22"/>
          <w:lang w:eastAsia="de-DE"/>
        </w:rPr>
        <w:t>premia</w:t>
      </w:r>
      <w:proofErr w:type="spellEnd"/>
      <w:r>
        <w:rPr>
          <w:sz w:val="22"/>
          <w:szCs w:val="22"/>
          <w:lang w:eastAsia="de-DE"/>
        </w:rPr>
        <w:t xml:space="preserve"> through investment in smart beta ETFs, the predominant conditions that investors put forward are: ease of implementation</w:t>
      </w:r>
      <w:r w:rsidR="00D435C2">
        <w:rPr>
          <w:sz w:val="22"/>
          <w:szCs w:val="22"/>
          <w:lang w:eastAsia="de-DE"/>
        </w:rPr>
        <w:t>,</w:t>
      </w:r>
      <w:r>
        <w:rPr>
          <w:sz w:val="22"/>
          <w:szCs w:val="22"/>
          <w:lang w:eastAsia="de-DE"/>
        </w:rPr>
        <w:t xml:space="preserve"> low turnover and transaction costs</w:t>
      </w:r>
      <w:r w:rsidR="00D435C2">
        <w:rPr>
          <w:sz w:val="22"/>
          <w:szCs w:val="22"/>
          <w:lang w:eastAsia="de-DE"/>
        </w:rPr>
        <w:t xml:space="preserve"> (3.66 on a scale from 0 to 5)</w:t>
      </w:r>
      <w:r>
        <w:rPr>
          <w:sz w:val="22"/>
          <w:szCs w:val="22"/>
          <w:lang w:eastAsia="de-DE"/>
        </w:rPr>
        <w:t>; a rational risk premium</w:t>
      </w:r>
      <w:r w:rsidR="00D435C2">
        <w:rPr>
          <w:sz w:val="22"/>
          <w:szCs w:val="22"/>
          <w:lang w:eastAsia="de-DE"/>
        </w:rPr>
        <w:t xml:space="preserve"> (3.61)</w:t>
      </w:r>
      <w:r>
        <w:rPr>
          <w:sz w:val="22"/>
          <w:szCs w:val="22"/>
          <w:lang w:eastAsia="de-DE"/>
        </w:rPr>
        <w:t xml:space="preserve">; </w:t>
      </w:r>
      <w:r w:rsidR="00C72653">
        <w:rPr>
          <w:sz w:val="22"/>
          <w:szCs w:val="22"/>
          <w:lang w:eastAsia="de-DE"/>
        </w:rPr>
        <w:t>and documentation of the factor premium in empirical literature</w:t>
      </w:r>
      <w:r w:rsidR="00D435C2">
        <w:rPr>
          <w:sz w:val="22"/>
          <w:szCs w:val="22"/>
          <w:lang w:eastAsia="de-DE"/>
        </w:rPr>
        <w:t xml:space="preserve"> (3.45)</w:t>
      </w:r>
      <w:r w:rsidR="00C72653">
        <w:rPr>
          <w:sz w:val="22"/>
          <w:szCs w:val="22"/>
          <w:lang w:eastAsia="de-DE"/>
        </w:rPr>
        <w:t xml:space="preserve">. </w:t>
      </w:r>
    </w:p>
    <w:p w:rsidR="00E561C3" w:rsidRDefault="00E561C3" w:rsidP="00B34A64">
      <w:pPr>
        <w:spacing w:line="280" w:lineRule="atLeast"/>
        <w:jc w:val="both"/>
        <w:rPr>
          <w:sz w:val="22"/>
          <w:szCs w:val="22"/>
          <w:lang w:eastAsia="de-DE"/>
        </w:rPr>
      </w:pPr>
    </w:p>
    <w:p w:rsidR="00E561C3" w:rsidRPr="00B34A64" w:rsidRDefault="001A78FE" w:rsidP="00E561C3">
      <w:pPr>
        <w:pStyle w:val="Paragraphedeliste"/>
        <w:numPr>
          <w:ilvl w:val="0"/>
          <w:numId w:val="14"/>
        </w:numPr>
        <w:tabs>
          <w:tab w:val="clear" w:pos="709"/>
        </w:tabs>
        <w:spacing w:after="0" w:line="280" w:lineRule="atLeast"/>
        <w:ind w:left="786"/>
        <w:contextualSpacing w:val="0"/>
        <w:rPr>
          <w:rFonts w:ascii="Times New Roman" w:hAnsi="Times New Roman" w:cs="Times New Roman"/>
          <w:b/>
          <w:lang w:eastAsia="de-DE"/>
        </w:rPr>
      </w:pPr>
      <w:r>
        <w:rPr>
          <w:rFonts w:ascii="Times New Roman" w:hAnsi="Times New Roman" w:cs="Times New Roman"/>
          <w:b/>
          <w:lang w:eastAsia="de-DE"/>
        </w:rPr>
        <w:t xml:space="preserve">Lack of transparency is a major concern </w:t>
      </w:r>
    </w:p>
    <w:p w:rsidR="00E561C3" w:rsidRDefault="00E561C3" w:rsidP="00B34A64">
      <w:pPr>
        <w:spacing w:line="280" w:lineRule="atLeast"/>
        <w:jc w:val="both"/>
        <w:rPr>
          <w:sz w:val="22"/>
          <w:szCs w:val="22"/>
          <w:lang w:eastAsia="de-DE"/>
        </w:rPr>
      </w:pPr>
    </w:p>
    <w:p w:rsidR="00D435C2" w:rsidRDefault="001A78FE" w:rsidP="001A78FE">
      <w:pPr>
        <w:spacing w:line="280" w:lineRule="atLeast"/>
        <w:jc w:val="both"/>
        <w:rPr>
          <w:sz w:val="22"/>
          <w:szCs w:val="22"/>
          <w:lang w:eastAsia="de-DE"/>
        </w:rPr>
      </w:pPr>
      <w:r w:rsidRPr="001A78FE">
        <w:rPr>
          <w:sz w:val="22"/>
          <w:szCs w:val="22"/>
          <w:lang w:eastAsia="de-DE"/>
        </w:rPr>
        <w:t>A greater share of</w:t>
      </w:r>
      <w:r>
        <w:rPr>
          <w:sz w:val="22"/>
          <w:szCs w:val="22"/>
          <w:lang w:eastAsia="de-DE"/>
        </w:rPr>
        <w:t xml:space="preserve"> </w:t>
      </w:r>
      <w:r w:rsidRPr="001A78FE">
        <w:rPr>
          <w:sz w:val="22"/>
          <w:szCs w:val="22"/>
          <w:lang w:eastAsia="de-DE"/>
        </w:rPr>
        <w:t>respondents (88%) than for all other</w:t>
      </w:r>
      <w:r>
        <w:rPr>
          <w:sz w:val="22"/>
          <w:szCs w:val="22"/>
          <w:lang w:eastAsia="de-DE"/>
        </w:rPr>
        <w:t xml:space="preserve"> </w:t>
      </w:r>
      <w:r w:rsidRPr="001A78FE">
        <w:rPr>
          <w:sz w:val="22"/>
          <w:szCs w:val="22"/>
          <w:lang w:eastAsia="de-DE"/>
        </w:rPr>
        <w:t>statements about smart beta indices agrees that smart beta indices</w:t>
      </w:r>
      <w:r>
        <w:rPr>
          <w:sz w:val="22"/>
          <w:szCs w:val="22"/>
          <w:lang w:eastAsia="de-DE"/>
        </w:rPr>
        <w:t xml:space="preserve"> </w:t>
      </w:r>
      <w:r w:rsidRPr="001A78FE">
        <w:rPr>
          <w:sz w:val="22"/>
          <w:szCs w:val="22"/>
          <w:lang w:eastAsia="de-DE"/>
        </w:rPr>
        <w:t>require full transparency on methodology</w:t>
      </w:r>
      <w:r>
        <w:rPr>
          <w:sz w:val="22"/>
          <w:szCs w:val="22"/>
          <w:lang w:eastAsia="de-DE"/>
        </w:rPr>
        <w:t xml:space="preserve"> </w:t>
      </w:r>
      <w:r w:rsidRPr="001A78FE">
        <w:rPr>
          <w:sz w:val="22"/>
          <w:szCs w:val="22"/>
          <w:lang w:eastAsia="de-DE"/>
        </w:rPr>
        <w:t>and risk analytics. Transparency is not</w:t>
      </w:r>
      <w:r>
        <w:rPr>
          <w:sz w:val="22"/>
          <w:szCs w:val="22"/>
          <w:lang w:eastAsia="de-DE"/>
        </w:rPr>
        <w:t xml:space="preserve"> </w:t>
      </w:r>
      <w:r w:rsidRPr="001A78FE">
        <w:rPr>
          <w:sz w:val="22"/>
          <w:szCs w:val="22"/>
          <w:lang w:eastAsia="de-DE"/>
        </w:rPr>
        <w:t>only the best protection against the risks</w:t>
      </w:r>
      <w:r>
        <w:rPr>
          <w:sz w:val="22"/>
          <w:szCs w:val="22"/>
          <w:lang w:eastAsia="de-DE"/>
        </w:rPr>
        <w:t xml:space="preserve"> </w:t>
      </w:r>
      <w:r w:rsidRPr="001A78FE">
        <w:rPr>
          <w:sz w:val="22"/>
          <w:szCs w:val="22"/>
          <w:lang w:eastAsia="de-DE"/>
        </w:rPr>
        <w:t>arising from conflicts of interests, but it</w:t>
      </w:r>
      <w:r>
        <w:rPr>
          <w:sz w:val="22"/>
          <w:szCs w:val="22"/>
          <w:lang w:eastAsia="de-DE"/>
        </w:rPr>
        <w:t xml:space="preserve"> </w:t>
      </w:r>
      <w:r w:rsidRPr="001A78FE">
        <w:rPr>
          <w:sz w:val="22"/>
          <w:szCs w:val="22"/>
          <w:lang w:eastAsia="de-DE"/>
        </w:rPr>
        <w:t>is also instrumental to improving the</w:t>
      </w:r>
      <w:r>
        <w:rPr>
          <w:sz w:val="22"/>
          <w:szCs w:val="22"/>
          <w:lang w:eastAsia="de-DE"/>
        </w:rPr>
        <w:t xml:space="preserve"> </w:t>
      </w:r>
      <w:r w:rsidRPr="001A78FE">
        <w:rPr>
          <w:sz w:val="22"/>
          <w:szCs w:val="22"/>
          <w:lang w:eastAsia="de-DE"/>
        </w:rPr>
        <w:t>informational efficiency of the indexing</w:t>
      </w:r>
      <w:r>
        <w:rPr>
          <w:sz w:val="22"/>
          <w:szCs w:val="22"/>
          <w:lang w:eastAsia="de-DE"/>
        </w:rPr>
        <w:t xml:space="preserve"> </w:t>
      </w:r>
      <w:r w:rsidRPr="001A78FE">
        <w:rPr>
          <w:sz w:val="22"/>
          <w:szCs w:val="22"/>
          <w:lang w:eastAsia="de-DE"/>
        </w:rPr>
        <w:t>industry.</w:t>
      </w:r>
      <w:r w:rsidR="0017374C">
        <w:rPr>
          <w:sz w:val="22"/>
          <w:szCs w:val="22"/>
          <w:lang w:eastAsia="de-DE"/>
        </w:rPr>
        <w:t xml:space="preserve"> </w:t>
      </w:r>
      <w:r w:rsidR="00D435C2">
        <w:rPr>
          <w:sz w:val="22"/>
          <w:szCs w:val="22"/>
          <w:lang w:eastAsia="de-DE"/>
        </w:rPr>
        <w:t xml:space="preserve">This result comforts the position of </w:t>
      </w:r>
      <w:r w:rsidR="0017374C">
        <w:rPr>
          <w:sz w:val="22"/>
          <w:szCs w:val="22"/>
          <w:lang w:eastAsia="de-DE"/>
        </w:rPr>
        <w:t xml:space="preserve">EDHEC-Risk Institute, which is continually advocating for improvements in index transparency. </w:t>
      </w:r>
    </w:p>
    <w:p w:rsidR="0017374C" w:rsidRDefault="0017374C" w:rsidP="001A78FE">
      <w:pPr>
        <w:spacing w:line="280" w:lineRule="atLeast"/>
        <w:jc w:val="both"/>
        <w:rPr>
          <w:sz w:val="22"/>
          <w:szCs w:val="22"/>
          <w:lang w:eastAsia="de-DE"/>
        </w:rPr>
      </w:pPr>
    </w:p>
    <w:p w:rsidR="00F40D60" w:rsidRDefault="00F40D60" w:rsidP="00F40D60">
      <w:pPr>
        <w:autoSpaceDE w:val="0"/>
        <w:autoSpaceDN w:val="0"/>
        <w:adjustRightInd w:val="0"/>
        <w:jc w:val="both"/>
        <w:rPr>
          <w:sz w:val="22"/>
          <w:szCs w:val="22"/>
        </w:rPr>
      </w:pPr>
      <w:r w:rsidRPr="00E123AC">
        <w:rPr>
          <w:sz w:val="22"/>
          <w:szCs w:val="22"/>
        </w:rPr>
        <w:t xml:space="preserve">A copy of the EDHEC-Risk Institute </w:t>
      </w:r>
      <w:r w:rsidR="009437DF">
        <w:rPr>
          <w:sz w:val="22"/>
          <w:szCs w:val="22"/>
        </w:rPr>
        <w:t>study</w:t>
      </w:r>
      <w:r w:rsidRPr="00E123AC">
        <w:rPr>
          <w:sz w:val="22"/>
          <w:szCs w:val="22"/>
        </w:rPr>
        <w:t xml:space="preserve"> can be found here:</w:t>
      </w:r>
    </w:p>
    <w:p w:rsidR="009437DF" w:rsidRDefault="009437DF" w:rsidP="00F40D60">
      <w:pPr>
        <w:autoSpaceDE w:val="0"/>
        <w:autoSpaceDN w:val="0"/>
        <w:adjustRightInd w:val="0"/>
        <w:jc w:val="both"/>
        <w:rPr>
          <w:sz w:val="22"/>
          <w:szCs w:val="22"/>
        </w:rPr>
      </w:pPr>
    </w:p>
    <w:p w:rsidR="009437DF" w:rsidRDefault="001A1240" w:rsidP="00F40D60">
      <w:pPr>
        <w:autoSpaceDE w:val="0"/>
        <w:autoSpaceDN w:val="0"/>
        <w:adjustRightInd w:val="0"/>
        <w:jc w:val="both"/>
        <w:rPr>
          <w:sz w:val="22"/>
          <w:szCs w:val="22"/>
        </w:rPr>
      </w:pPr>
      <w:hyperlink r:id="rId9" w:history="1">
        <w:r w:rsidR="009437DF" w:rsidRPr="00B34A64">
          <w:rPr>
            <w:rStyle w:val="Lienhypertexte"/>
            <w:sz w:val="22"/>
            <w:szCs w:val="22"/>
          </w:rPr>
          <w:t>EDHEC-Risk Publication Investor Interest in and Requirements for Smart Beta ETFs</w:t>
        </w:r>
      </w:hyperlink>
    </w:p>
    <w:p w:rsidR="00F40D60" w:rsidRPr="00E123AC" w:rsidRDefault="00F40D60" w:rsidP="00F40D60">
      <w:pPr>
        <w:spacing w:line="240" w:lineRule="atLeast"/>
        <w:jc w:val="both"/>
        <w:rPr>
          <w:snapToGrid w:val="0"/>
          <w:color w:val="000000"/>
          <w:sz w:val="22"/>
          <w:szCs w:val="22"/>
        </w:rPr>
      </w:pPr>
    </w:p>
    <w:p w:rsidR="00BC5F44" w:rsidRPr="00AC210E" w:rsidRDefault="001A1240" w:rsidP="00BC5F44">
      <w:pPr>
        <w:autoSpaceDE w:val="0"/>
        <w:autoSpaceDN w:val="0"/>
        <w:adjustRightInd w:val="0"/>
        <w:jc w:val="both"/>
        <w:rPr>
          <w:snapToGrid w:val="0"/>
          <w:color w:val="000000"/>
          <w:sz w:val="22"/>
          <w:szCs w:val="22"/>
        </w:rPr>
      </w:pPr>
      <w:r>
        <w:rPr>
          <w:noProof/>
          <w:color w:val="000000"/>
          <w:sz w:val="22"/>
          <w:szCs w:val="22"/>
          <w:lang w:val="fr-FR" w:eastAsia="zh-CN"/>
        </w:rPr>
        <w:pict>
          <v:group id="Group 30" o:spid="_x0000_s1026" style="position:absolute;left:0;text-align:left;margin-left:0;margin-top:3.1pt;width:459pt;height:75pt;z-index:-251658240"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&#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">
            <v:rect id="Rectangle 31" o:spid="_x0000_s1027" style="position:absolute;left:1418;top:1238;width:918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M8MA&#10;AADaAAAADwAAAGRycy9kb3ducmV2LnhtbESPQWsCMRSE74X+h/AK3mrWVbRsjSKKYA9Cawu9Pjav&#10;u6GblzXJutt/b4SCx2FmvmGW68E24kI+GMcKJuMMBHHptOFKwdfn/vkFRIjIGhvHpOCPAqxXjw9L&#10;LLTr+YMup1iJBOFQoII6xraQMpQ1WQxj1xIn78d5izFJX0ntsU9w28g8y+bSouG0UGNL25rK31Nn&#10;FXSz0i4mxs2/d2Y4nhfT/k37d6VGT8PmFUSkId7D/+2DVpDD7Uq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VM8MAAADaAAAADwAAAAAAAAAAAAAAAACYAgAAZHJzL2Rv&#10;d25yZXYueG1sUEsFBgAAAAAEAAQA9QAAAIgD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7fmS+AAAA2gAAAA8AAABkcnMvZG93bnJldi54bWxET8uKwjAU3Q/4D+EK7sZUhRmpRpGCIIgw&#10;PnB9aa5NsLkpTaz1783AwCwP571c964WHbXBelYwGWcgiEuvLVcKLuft5xxEiMgaa8+k4EUB1qvB&#10;xxJz7Z98pO4UK5FCOOSowMTY5FKG0pDDMPYNceJuvnUYE2wrqVt8pnBXy2mWfUmHllODwYYKQ+X9&#10;9HBpxvfBVsXxUfzYvTlcz/Out5ubUqNhv1mAiNTHf/Gfe6cVzOD3SvKDXL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q7fmS+AAAA2gAAAA8AAAAAAAAAAAAAAAAAnwIAAGRy&#10;cy9kb3ducmV2LnhtbFBLBQYAAAAABAAEAPcAAACKAwAAAAA=&#10;">
              <v:imagedata r:id="rId10" o:title="edhec logo press release 3"/>
            </v:shape>
          </v:group>
        </w:pict>
      </w:r>
    </w:p>
    <w:p w:rsidR="00BC5F44" w:rsidRPr="00AC210E" w:rsidRDefault="00BC5F44" w:rsidP="00BC5F44">
      <w:pPr>
        <w:tabs>
          <w:tab w:val="left" w:pos="3240"/>
        </w:tabs>
        <w:spacing w:line="260" w:lineRule="exact"/>
        <w:ind w:left="1622"/>
        <w:jc w:val="both"/>
        <w:rPr>
          <w:b/>
          <w:bCs/>
          <w:color w:val="800000"/>
          <w:sz w:val="22"/>
          <w:szCs w:val="22"/>
        </w:rPr>
      </w:pPr>
      <w:r w:rsidRPr="00AC210E">
        <w:rPr>
          <w:b/>
          <w:bCs/>
          <w:color w:val="800000"/>
          <w:sz w:val="22"/>
          <w:szCs w:val="22"/>
        </w:rPr>
        <w:t>Contact:</w:t>
      </w:r>
    </w:p>
    <w:p w:rsidR="00BC5F44" w:rsidRPr="00AC210E" w:rsidRDefault="00BC5F44" w:rsidP="00BC5F44">
      <w:pPr>
        <w:tabs>
          <w:tab w:val="left" w:pos="3240"/>
        </w:tabs>
        <w:spacing w:line="260" w:lineRule="exact"/>
        <w:ind w:left="1620"/>
        <w:jc w:val="both"/>
        <w:rPr>
          <w:b/>
          <w:bCs/>
          <w:sz w:val="22"/>
          <w:szCs w:val="22"/>
        </w:rPr>
      </w:pPr>
      <w:r w:rsidRPr="00AC210E">
        <w:rPr>
          <w:sz w:val="22"/>
          <w:szCs w:val="22"/>
        </w:rPr>
        <w:t xml:space="preserve">For more information, please contact: </w:t>
      </w:r>
      <w:r w:rsidRPr="00AC210E">
        <w:rPr>
          <w:b/>
          <w:bCs/>
          <w:sz w:val="22"/>
          <w:szCs w:val="22"/>
        </w:rPr>
        <w:t xml:space="preserve">Maud </w:t>
      </w:r>
      <w:proofErr w:type="spellStart"/>
      <w:r w:rsidRPr="00AC210E">
        <w:rPr>
          <w:b/>
          <w:bCs/>
          <w:sz w:val="22"/>
          <w:szCs w:val="22"/>
        </w:rPr>
        <w:t>Gauchon</w:t>
      </w:r>
      <w:proofErr w:type="spellEnd"/>
    </w:p>
    <w:p w:rsidR="00BC5F44" w:rsidRPr="00F33334" w:rsidRDefault="006C6845" w:rsidP="00BC5F44">
      <w:pPr>
        <w:tabs>
          <w:tab w:val="left" w:pos="3240"/>
        </w:tabs>
        <w:spacing w:line="260" w:lineRule="exact"/>
        <w:ind w:left="1620"/>
        <w:jc w:val="both"/>
        <w:rPr>
          <w:sz w:val="22"/>
          <w:szCs w:val="22"/>
          <w:lang w:val="fr-FR"/>
        </w:rPr>
      </w:pPr>
      <w:r w:rsidRPr="00F33334">
        <w:rPr>
          <w:sz w:val="22"/>
          <w:szCs w:val="22"/>
          <w:lang w:val="fr-FR"/>
        </w:rPr>
        <w:t xml:space="preserve">Tel.: </w:t>
      </w:r>
      <w:r w:rsidRPr="00F33334">
        <w:rPr>
          <w:b/>
          <w:bCs/>
          <w:sz w:val="22"/>
          <w:szCs w:val="22"/>
          <w:lang w:val="fr-FR"/>
        </w:rPr>
        <w:t>+33 493 187 887</w:t>
      </w:r>
      <w:r w:rsidRPr="00F33334">
        <w:rPr>
          <w:sz w:val="22"/>
          <w:szCs w:val="22"/>
          <w:lang w:val="fr-FR"/>
        </w:rPr>
        <w:t xml:space="preserve"> – E-mail: </w:t>
      </w:r>
      <w:hyperlink r:id="rId11" w:history="1">
        <w:r w:rsidRPr="00F33334">
          <w:rPr>
            <w:rStyle w:val="Lienhypertexte"/>
            <w:rFonts w:eastAsia="SimSun"/>
            <w:sz w:val="22"/>
            <w:szCs w:val="22"/>
            <w:lang w:val="fr-FR"/>
          </w:rPr>
          <w:t>maud.gauchon@edhec-risk.com</w:t>
        </w:r>
      </w:hyperlink>
    </w:p>
    <w:p w:rsidR="00BC5F44" w:rsidRDefault="00BC5F44" w:rsidP="00BC5F44">
      <w:pPr>
        <w:tabs>
          <w:tab w:val="left" w:pos="3240"/>
        </w:tabs>
        <w:spacing w:line="260" w:lineRule="exact"/>
        <w:ind w:left="1620"/>
      </w:pPr>
      <w:r w:rsidRPr="00AC210E">
        <w:rPr>
          <w:sz w:val="22"/>
          <w:szCs w:val="22"/>
        </w:rPr>
        <w:t xml:space="preserve">To visit our web site: </w:t>
      </w:r>
      <w:hyperlink r:id="rId12" w:history="1">
        <w:r w:rsidRPr="00AC210E">
          <w:rPr>
            <w:rStyle w:val="Lienhypertexte"/>
            <w:rFonts w:eastAsia="SimSun"/>
            <w:sz w:val="22"/>
            <w:szCs w:val="22"/>
          </w:rPr>
          <w:t>www.edhec-risk.com</w:t>
        </w:r>
      </w:hyperlink>
    </w:p>
    <w:p w:rsidR="00BC5F44" w:rsidRPr="000D04CC" w:rsidRDefault="00BC5F44" w:rsidP="00BC5F44">
      <w:pPr>
        <w:spacing w:line="360" w:lineRule="auto"/>
        <w:jc w:val="both"/>
        <w:rPr>
          <w:b/>
          <w:bCs/>
          <w:sz w:val="28"/>
          <w:szCs w:val="28"/>
        </w:rPr>
      </w:pPr>
      <w:r w:rsidRPr="000D04CC">
        <w:rPr>
          <w:b/>
          <w:bCs/>
          <w:sz w:val="28"/>
          <w:szCs w:val="28"/>
        </w:rPr>
        <w:lastRenderedPageBreak/>
        <w:t>About EDHEC-Risk Institute</w:t>
      </w:r>
    </w:p>
    <w:p w:rsidR="00BC5F44" w:rsidRPr="000D04CC" w:rsidRDefault="00BC5F44" w:rsidP="00BC5F44">
      <w:pPr>
        <w:spacing w:line="280" w:lineRule="atLeast"/>
        <w:jc w:val="both"/>
        <w:rPr>
          <w:rFonts w:cs="Arial"/>
          <w:sz w:val="22"/>
          <w:szCs w:val="22"/>
        </w:rPr>
      </w:pPr>
    </w:p>
    <w:p w:rsidR="00BC5F44" w:rsidRPr="000D04CC" w:rsidRDefault="00BC5F44" w:rsidP="00BC5F44">
      <w:pPr>
        <w:spacing w:line="280" w:lineRule="atLeast"/>
        <w:jc w:val="both"/>
        <w:rPr>
          <w:rFonts w:cs="Arial"/>
          <w:sz w:val="22"/>
          <w:szCs w:val="22"/>
        </w:rPr>
      </w:pPr>
      <w:r w:rsidRPr="000D04CC">
        <w:rPr>
          <w:rFonts w:cs="Arial"/>
          <w:sz w:val="22"/>
          <w:szCs w:val="22"/>
        </w:rPr>
        <w:t xml:space="preserve">Since 2001, EDHEC Business School has been pursuing an ambitious policy in terms of international research. This policy, known as “Research for Business”, aims to make EDHEC an academic institution of reference for the industry in a small number of areas in which the school has reached critical mass in terms of expertise and research results. Among these areas, asset and risk management have occupied privileged positions, leading to the creation in 2001 of a major research facility: EDHEC-Risk Institute. This institute now boasts a team of over 95 permanent professors, engineers and support staff, as well as 48 research associates from the financial industry and affiliate professors. </w:t>
      </w:r>
    </w:p>
    <w:p w:rsidR="00BC5F44" w:rsidRPr="000D04CC" w:rsidRDefault="00BC5F44" w:rsidP="00BC5F44">
      <w:pPr>
        <w:spacing w:line="280" w:lineRule="atLeast"/>
        <w:jc w:val="both"/>
        <w:rPr>
          <w:rFonts w:cs="Arial"/>
          <w:sz w:val="22"/>
          <w:szCs w:val="22"/>
        </w:rPr>
      </w:pPr>
    </w:p>
    <w:p w:rsidR="00BC5F44" w:rsidRPr="000D04CC" w:rsidRDefault="00BC5F44" w:rsidP="00BC5F44">
      <w:pPr>
        <w:spacing w:line="280" w:lineRule="atLeast"/>
        <w:jc w:val="both"/>
        <w:rPr>
          <w:rFonts w:cs="Arial"/>
          <w:sz w:val="22"/>
          <w:szCs w:val="22"/>
        </w:rPr>
      </w:pPr>
      <w:r w:rsidRPr="000D04CC">
        <w:rPr>
          <w:rFonts w:cs="Arial"/>
          <w:sz w:val="22"/>
          <w:szCs w:val="22"/>
        </w:rPr>
        <w:t>EDHEC-Risk Institute is located at campuses in Singapore, which was established at the invitation of the Monetary Authority of Singapore (MAS); the City of London in the United Kingdom; Nice and Paris in France; and New York in the United States. The philosophy of the institute is to validate its work by publication in prestigious academic journals, but also to make it available to professionals and to participate in industry debate through its Position Papers, published studies and conferences. Each year, EDHEC-Risk organises three conferences for professionals in order to present the results of its research, one in London (EDHEC-Risk Days Europe), one in Singapore (EDHEC-Risk Days Asia), and one in New York (EDHEC-Risk Days North America) attracting more than 2,500 professional delegates.</w:t>
      </w:r>
    </w:p>
    <w:p w:rsidR="00BC5F44" w:rsidRPr="000D04CC" w:rsidRDefault="00BC5F44" w:rsidP="00BC5F44">
      <w:pPr>
        <w:spacing w:line="280" w:lineRule="atLeast"/>
        <w:jc w:val="both"/>
        <w:rPr>
          <w:rFonts w:cs="Arial"/>
          <w:sz w:val="22"/>
          <w:szCs w:val="22"/>
        </w:rPr>
      </w:pPr>
    </w:p>
    <w:p w:rsidR="00BC5F44" w:rsidRPr="000D04CC" w:rsidRDefault="00BC5F44" w:rsidP="00BC5F44">
      <w:pPr>
        <w:spacing w:line="280" w:lineRule="atLeast"/>
        <w:jc w:val="both"/>
        <w:rPr>
          <w:rFonts w:cs="Arial"/>
          <w:sz w:val="22"/>
          <w:szCs w:val="22"/>
        </w:rPr>
      </w:pPr>
      <w:r w:rsidRPr="000D04CC">
        <w:rPr>
          <w:rFonts w:cs="Arial"/>
          <w:sz w:val="22"/>
          <w:szCs w:val="22"/>
        </w:rPr>
        <w:t xml:space="preserve">To ensure the distribution of its research to the industry, EDHEC-Risk also provides professionals with access to its website, </w:t>
      </w:r>
      <w:hyperlink r:id="rId13" w:history="1">
        <w:r w:rsidRPr="000D04CC">
          <w:rPr>
            <w:rFonts w:cs="Arial"/>
            <w:sz w:val="22"/>
            <w:szCs w:val="22"/>
          </w:rPr>
          <w:t>www.edhec-risk.com</w:t>
        </w:r>
      </w:hyperlink>
      <w:r w:rsidRPr="000D04CC">
        <w:rPr>
          <w:rFonts w:cs="Arial"/>
          <w:sz w:val="22"/>
          <w:szCs w:val="22"/>
        </w:rPr>
        <w:t>, which is entirely devoted to international risk and asset management research. The website, which has more than 65,000 regular visitors, is aimed at professionals who wish to benefit from EDHEC-Risk’s analysis and expertise in the area of applied portfolio management research. Its monthly newsletter is distributed to more than 1.5 million readers.</w:t>
      </w:r>
    </w:p>
    <w:p w:rsidR="00BC5F44" w:rsidRPr="000D04CC" w:rsidRDefault="00BC5F44" w:rsidP="00BC5F44">
      <w:pPr>
        <w:spacing w:line="280" w:lineRule="atLeast"/>
        <w:jc w:val="both"/>
        <w:rPr>
          <w:rFonts w:cs="Arial"/>
          <w:sz w:val="22"/>
          <w:szCs w:val="22"/>
        </w:rPr>
      </w:pPr>
    </w:p>
    <w:p w:rsidR="00BC5F44" w:rsidRPr="000D04CC" w:rsidRDefault="00BC5F44" w:rsidP="00BC5F44">
      <w:pPr>
        <w:spacing w:line="280" w:lineRule="atLeast"/>
        <w:jc w:val="both"/>
        <w:rPr>
          <w:rFonts w:cs="Arial"/>
          <w:sz w:val="22"/>
          <w:szCs w:val="22"/>
        </w:rPr>
      </w:pPr>
      <w:r w:rsidRPr="000D04CC">
        <w:rPr>
          <w:rFonts w:cs="Arial"/>
          <w:sz w:val="22"/>
          <w:szCs w:val="22"/>
        </w:rPr>
        <w:t xml:space="preserve">EDHEC-Risk Institute also has highly significant executive education activities for professionals. In partnership with CFA Institute, it has developed advanced seminars based on its research which are available to CFA </w:t>
      </w:r>
      <w:proofErr w:type="spellStart"/>
      <w:r w:rsidRPr="000D04CC">
        <w:rPr>
          <w:rFonts w:cs="Arial"/>
          <w:sz w:val="22"/>
          <w:szCs w:val="22"/>
        </w:rPr>
        <w:t>charterholders</w:t>
      </w:r>
      <w:proofErr w:type="spellEnd"/>
      <w:r w:rsidRPr="000D04CC">
        <w:rPr>
          <w:rFonts w:cs="Arial"/>
          <w:sz w:val="22"/>
          <w:szCs w:val="22"/>
        </w:rPr>
        <w:t xml:space="preserve"> and have been taking place since 2008 in New York, Singapore and London. EDHEC-Risk Institute has an original PhD in Finance programme which, in addition to its highly selective residential track for young talents worldwide, has an executive track for high level professionals who already have master’s degrees from prestigious universities and significant industry experience. These professionals are looking to go beyond their usual activities in order to develop research on the concepts that are relevant to their occupation. Complementing the core faculty, this unique PhD in Finance programme has highly prestigious affiliate faculty from universities such as Princeton, Wharton, Oxford, Chicago and </w:t>
      </w:r>
      <w:proofErr w:type="spellStart"/>
      <w:r w:rsidRPr="000D04CC">
        <w:rPr>
          <w:rFonts w:cs="Arial"/>
          <w:sz w:val="22"/>
          <w:szCs w:val="22"/>
        </w:rPr>
        <w:t>CalTech</w:t>
      </w:r>
      <w:proofErr w:type="spellEnd"/>
      <w:r w:rsidRPr="000D04CC">
        <w:rPr>
          <w:rFonts w:cs="Arial"/>
          <w:sz w:val="22"/>
          <w:szCs w:val="22"/>
        </w:rPr>
        <w:t>.</w:t>
      </w:r>
    </w:p>
    <w:p w:rsidR="00BC5F44" w:rsidRPr="000D04CC" w:rsidRDefault="00BC5F44" w:rsidP="00BC5F44">
      <w:pPr>
        <w:spacing w:line="280" w:lineRule="atLeast"/>
        <w:jc w:val="both"/>
        <w:rPr>
          <w:rFonts w:cs="Arial"/>
          <w:sz w:val="22"/>
          <w:szCs w:val="22"/>
        </w:rPr>
      </w:pPr>
    </w:p>
    <w:p w:rsidR="00BC5F44" w:rsidRPr="000D04CC" w:rsidRDefault="00BC5F44" w:rsidP="00BC5F44">
      <w:pPr>
        <w:spacing w:line="280" w:lineRule="atLeast"/>
        <w:jc w:val="both"/>
        <w:rPr>
          <w:rFonts w:cs="Arial"/>
          <w:sz w:val="22"/>
          <w:szCs w:val="22"/>
        </w:rPr>
      </w:pPr>
      <w:r w:rsidRPr="000D04CC">
        <w:rPr>
          <w:rFonts w:cs="Arial"/>
          <w:sz w:val="22"/>
          <w:szCs w:val="22"/>
        </w:rPr>
        <w:t xml:space="preserve">In 2012, EDHEC-Risk Institute signed two strategic partnership agreements with the Operations Research and Financial Engineering department of Princeton University to set up a joint research programme in the area of risk and investment management, and with Yale School of Management to set up joint certified executive training courses in North America and Europe in the area of investment management. </w:t>
      </w:r>
    </w:p>
    <w:p w:rsidR="00BC5F44" w:rsidRPr="000D04CC" w:rsidRDefault="00BC5F44" w:rsidP="00BC5F44">
      <w:pPr>
        <w:spacing w:line="280" w:lineRule="atLeast"/>
        <w:jc w:val="both"/>
        <w:rPr>
          <w:rFonts w:cs="Arial"/>
          <w:sz w:val="22"/>
          <w:szCs w:val="22"/>
        </w:rPr>
      </w:pPr>
    </w:p>
    <w:p w:rsidR="00BC5F44" w:rsidRPr="000D04CC" w:rsidRDefault="00BC5F44" w:rsidP="00BC5F44">
      <w:pPr>
        <w:spacing w:line="280" w:lineRule="atLeast"/>
        <w:jc w:val="both"/>
        <w:rPr>
          <w:rFonts w:cs="Arial"/>
          <w:sz w:val="22"/>
          <w:szCs w:val="22"/>
        </w:rPr>
      </w:pPr>
      <w:r w:rsidRPr="000D04CC">
        <w:rPr>
          <w:rFonts w:cs="Arial"/>
          <w:sz w:val="22"/>
          <w:szCs w:val="22"/>
        </w:rPr>
        <w:t xml:space="preserve">Building on its experience in the area of beta analysis and creation, EDHEC-Risk Institute has also created ERI Scientific Beta, which aims to be the leading provider of advanced beta for the investment industry. This initiative is based on all of the research conducted by EDHEC in the area of indices and benchmarks. </w:t>
      </w:r>
    </w:p>
    <w:p w:rsidR="00BC5F44" w:rsidRDefault="00BC5F44" w:rsidP="00BC5F44">
      <w:pPr>
        <w:spacing w:line="280" w:lineRule="atLeast"/>
        <w:jc w:val="both"/>
        <w:rPr>
          <w:rFonts w:cs="Arial"/>
          <w:sz w:val="22"/>
          <w:szCs w:val="22"/>
        </w:rPr>
      </w:pPr>
    </w:p>
    <w:p w:rsidR="00BC5F44" w:rsidRPr="000D04CC" w:rsidRDefault="00BC5F44" w:rsidP="00BC5F44">
      <w:pPr>
        <w:rPr>
          <w:b/>
          <w:bCs/>
          <w:sz w:val="16"/>
          <w:szCs w:val="16"/>
          <w:lang w:eastAsia="zh-CN"/>
        </w:rPr>
      </w:pPr>
    </w:p>
    <w:p w:rsidR="00BC5F44" w:rsidRPr="000D04CC" w:rsidRDefault="00BC5F44" w:rsidP="00BC5F44">
      <w:pPr>
        <w:autoSpaceDE w:val="0"/>
        <w:autoSpaceDN w:val="0"/>
        <w:adjustRightInd w:val="0"/>
        <w:rPr>
          <w:b/>
          <w:bCs/>
          <w:sz w:val="16"/>
          <w:szCs w:val="16"/>
          <w:lang w:eastAsia="zh-CN"/>
        </w:rPr>
      </w:pPr>
      <w:r w:rsidRPr="000D04CC">
        <w:rPr>
          <w:b/>
          <w:bCs/>
          <w:sz w:val="16"/>
          <w:szCs w:val="16"/>
          <w:lang w:eastAsia="zh-CN"/>
        </w:rPr>
        <w:lastRenderedPageBreak/>
        <w:t>EDHEC-Risk Institute</w:t>
      </w:r>
      <w:r w:rsidRPr="000D04CC">
        <w:rPr>
          <w:b/>
          <w:bCs/>
          <w:sz w:val="16"/>
          <w:szCs w:val="16"/>
          <w:lang w:eastAsia="zh-CN"/>
        </w:rPr>
        <w:tab/>
      </w:r>
      <w:r w:rsidRPr="000D04CC">
        <w:rPr>
          <w:b/>
          <w:bCs/>
          <w:sz w:val="16"/>
          <w:szCs w:val="16"/>
          <w:lang w:eastAsia="zh-CN"/>
        </w:rPr>
        <w:tab/>
        <w:t>EDHEC Risk Institute—Europe</w:t>
      </w:r>
      <w:r w:rsidRPr="000D04CC">
        <w:rPr>
          <w:b/>
          <w:bCs/>
          <w:sz w:val="16"/>
          <w:szCs w:val="16"/>
          <w:lang w:eastAsia="zh-CN"/>
        </w:rPr>
        <w:tab/>
        <w:t>EDHEC Risk Institute—Asia</w:t>
      </w:r>
    </w:p>
    <w:p w:rsidR="00BC5F44" w:rsidRPr="000D04CC" w:rsidRDefault="00BC5F44" w:rsidP="00BC5F44">
      <w:pPr>
        <w:autoSpaceDE w:val="0"/>
        <w:autoSpaceDN w:val="0"/>
        <w:adjustRightInd w:val="0"/>
        <w:rPr>
          <w:sz w:val="16"/>
          <w:szCs w:val="16"/>
          <w:lang w:eastAsia="zh-CN"/>
        </w:rPr>
      </w:pPr>
      <w:r w:rsidRPr="000D04CC">
        <w:rPr>
          <w:sz w:val="16"/>
          <w:szCs w:val="16"/>
          <w:lang w:eastAsia="zh-CN"/>
        </w:rPr>
        <w:t xml:space="preserve">393 promenade des </w:t>
      </w:r>
      <w:proofErr w:type="spellStart"/>
      <w:r w:rsidRPr="000D04CC">
        <w:rPr>
          <w:sz w:val="16"/>
          <w:szCs w:val="16"/>
          <w:lang w:eastAsia="zh-CN"/>
        </w:rPr>
        <w:t>Anglais</w:t>
      </w:r>
      <w:proofErr w:type="spellEnd"/>
      <w:r w:rsidRPr="000D04CC">
        <w:rPr>
          <w:sz w:val="16"/>
          <w:szCs w:val="16"/>
          <w:lang w:eastAsia="zh-CN"/>
        </w:rPr>
        <w:tab/>
      </w:r>
      <w:r w:rsidRPr="000D04CC">
        <w:rPr>
          <w:sz w:val="16"/>
          <w:szCs w:val="16"/>
          <w:lang w:eastAsia="zh-CN"/>
        </w:rPr>
        <w:tab/>
        <w:t xml:space="preserve">10 Fleet Place, </w:t>
      </w:r>
      <w:proofErr w:type="spellStart"/>
      <w:r w:rsidRPr="000D04CC">
        <w:rPr>
          <w:sz w:val="16"/>
          <w:szCs w:val="16"/>
          <w:lang w:eastAsia="zh-CN"/>
        </w:rPr>
        <w:t>Ludgate</w:t>
      </w:r>
      <w:proofErr w:type="spellEnd"/>
      <w:r w:rsidRPr="000D04CC">
        <w:rPr>
          <w:sz w:val="16"/>
          <w:szCs w:val="16"/>
          <w:lang w:eastAsia="zh-CN"/>
        </w:rPr>
        <w:tab/>
      </w:r>
      <w:r w:rsidRPr="000D04CC">
        <w:rPr>
          <w:sz w:val="16"/>
          <w:szCs w:val="16"/>
          <w:lang w:eastAsia="zh-CN"/>
        </w:rPr>
        <w:tab/>
        <w:t>1 George Street</w:t>
      </w:r>
    </w:p>
    <w:p w:rsidR="00BC5F44" w:rsidRPr="000D04CC" w:rsidRDefault="00BC5F44" w:rsidP="00BC5F44">
      <w:pPr>
        <w:autoSpaceDE w:val="0"/>
        <w:autoSpaceDN w:val="0"/>
        <w:adjustRightInd w:val="0"/>
        <w:rPr>
          <w:sz w:val="16"/>
          <w:szCs w:val="16"/>
          <w:lang w:eastAsia="zh-CN"/>
        </w:rPr>
      </w:pPr>
      <w:r w:rsidRPr="000D04CC">
        <w:rPr>
          <w:sz w:val="16"/>
          <w:szCs w:val="16"/>
          <w:lang w:eastAsia="zh-CN"/>
        </w:rPr>
        <w:t xml:space="preserve">BP 3116 - 06202 Nice </w:t>
      </w:r>
      <w:proofErr w:type="spellStart"/>
      <w:r w:rsidRPr="000D04CC">
        <w:rPr>
          <w:sz w:val="16"/>
          <w:szCs w:val="16"/>
          <w:lang w:eastAsia="zh-CN"/>
        </w:rPr>
        <w:t>Cedex</w:t>
      </w:r>
      <w:proofErr w:type="spellEnd"/>
      <w:r w:rsidRPr="000D04CC">
        <w:rPr>
          <w:sz w:val="16"/>
          <w:szCs w:val="16"/>
          <w:lang w:eastAsia="zh-CN"/>
        </w:rPr>
        <w:t xml:space="preserve"> 3</w:t>
      </w:r>
      <w:r w:rsidRPr="000D04CC">
        <w:rPr>
          <w:sz w:val="16"/>
          <w:szCs w:val="16"/>
          <w:lang w:eastAsia="zh-CN"/>
        </w:rPr>
        <w:tab/>
      </w:r>
      <w:r w:rsidRPr="000D04CC">
        <w:rPr>
          <w:sz w:val="16"/>
          <w:szCs w:val="16"/>
          <w:lang w:eastAsia="zh-CN"/>
        </w:rPr>
        <w:tab/>
        <w:t>London EC4M 7RB</w:t>
      </w:r>
      <w:r w:rsidRPr="000D04CC">
        <w:rPr>
          <w:sz w:val="16"/>
          <w:szCs w:val="16"/>
          <w:lang w:eastAsia="zh-CN"/>
        </w:rPr>
        <w:tab/>
      </w:r>
      <w:r w:rsidRPr="000D04CC">
        <w:rPr>
          <w:sz w:val="16"/>
          <w:szCs w:val="16"/>
          <w:lang w:eastAsia="zh-CN"/>
        </w:rPr>
        <w:tab/>
      </w:r>
      <w:r w:rsidRPr="000D04CC">
        <w:rPr>
          <w:sz w:val="16"/>
          <w:szCs w:val="16"/>
          <w:lang w:eastAsia="zh-CN"/>
        </w:rPr>
        <w:tab/>
        <w:t>#07-02</w:t>
      </w:r>
    </w:p>
    <w:p w:rsidR="00BC5F44" w:rsidRPr="000D04CC" w:rsidRDefault="00BC5F44" w:rsidP="00BC5F44">
      <w:pPr>
        <w:autoSpaceDE w:val="0"/>
        <w:autoSpaceDN w:val="0"/>
        <w:adjustRightInd w:val="0"/>
        <w:rPr>
          <w:sz w:val="16"/>
          <w:szCs w:val="16"/>
          <w:lang w:eastAsia="zh-CN"/>
        </w:rPr>
      </w:pPr>
      <w:r w:rsidRPr="000D04CC">
        <w:rPr>
          <w:sz w:val="16"/>
          <w:szCs w:val="16"/>
          <w:lang w:eastAsia="zh-CN"/>
        </w:rPr>
        <w:t>France</w:t>
      </w:r>
      <w:r w:rsidRPr="000D04CC">
        <w:rPr>
          <w:sz w:val="16"/>
          <w:szCs w:val="16"/>
          <w:lang w:eastAsia="zh-CN"/>
        </w:rPr>
        <w:tab/>
      </w:r>
      <w:r w:rsidRPr="000D04CC">
        <w:rPr>
          <w:sz w:val="16"/>
          <w:szCs w:val="16"/>
          <w:lang w:eastAsia="zh-CN"/>
        </w:rPr>
        <w:tab/>
      </w:r>
      <w:r w:rsidRPr="000D04CC">
        <w:rPr>
          <w:sz w:val="16"/>
          <w:szCs w:val="16"/>
          <w:lang w:eastAsia="zh-CN"/>
        </w:rPr>
        <w:tab/>
      </w:r>
      <w:r w:rsidRPr="000D04CC">
        <w:rPr>
          <w:sz w:val="16"/>
          <w:szCs w:val="16"/>
          <w:lang w:eastAsia="zh-CN"/>
        </w:rPr>
        <w:tab/>
        <w:t>United Kingdom</w:t>
      </w:r>
      <w:r w:rsidRPr="000D04CC">
        <w:rPr>
          <w:sz w:val="16"/>
          <w:szCs w:val="16"/>
          <w:lang w:eastAsia="zh-CN"/>
        </w:rPr>
        <w:tab/>
      </w:r>
      <w:r w:rsidRPr="000D04CC">
        <w:rPr>
          <w:sz w:val="16"/>
          <w:szCs w:val="16"/>
          <w:lang w:eastAsia="zh-CN"/>
        </w:rPr>
        <w:tab/>
      </w:r>
      <w:r w:rsidRPr="000D04CC">
        <w:rPr>
          <w:sz w:val="16"/>
          <w:szCs w:val="16"/>
          <w:lang w:eastAsia="zh-CN"/>
        </w:rPr>
        <w:tab/>
        <w:t>Singapore 049145</w:t>
      </w:r>
    </w:p>
    <w:p w:rsidR="00BC5F44" w:rsidRPr="000D04CC" w:rsidRDefault="00BC5F44" w:rsidP="00BC5F44">
      <w:pPr>
        <w:autoSpaceDE w:val="0"/>
        <w:autoSpaceDN w:val="0"/>
        <w:adjustRightInd w:val="0"/>
        <w:rPr>
          <w:sz w:val="20"/>
          <w:szCs w:val="20"/>
          <w:lang w:eastAsia="zh-CN"/>
        </w:rPr>
      </w:pPr>
      <w:r w:rsidRPr="000D04CC">
        <w:rPr>
          <w:sz w:val="16"/>
          <w:szCs w:val="16"/>
          <w:lang w:eastAsia="zh-CN"/>
        </w:rPr>
        <w:t>Tel: +33 493 187 824</w:t>
      </w:r>
      <w:r w:rsidRPr="000D04CC">
        <w:rPr>
          <w:sz w:val="16"/>
          <w:szCs w:val="16"/>
          <w:lang w:eastAsia="zh-CN"/>
        </w:rPr>
        <w:tab/>
      </w:r>
      <w:r w:rsidRPr="000D04CC">
        <w:rPr>
          <w:sz w:val="16"/>
          <w:szCs w:val="16"/>
          <w:lang w:eastAsia="zh-CN"/>
        </w:rPr>
        <w:tab/>
      </w:r>
      <w:r w:rsidRPr="000D04CC">
        <w:rPr>
          <w:sz w:val="16"/>
          <w:szCs w:val="16"/>
          <w:lang w:eastAsia="zh-CN"/>
        </w:rPr>
        <w:tab/>
        <w:t>Tel: +44 207 871 6740</w:t>
      </w:r>
      <w:r w:rsidRPr="000D04CC">
        <w:rPr>
          <w:sz w:val="16"/>
          <w:szCs w:val="16"/>
          <w:lang w:eastAsia="zh-CN"/>
        </w:rPr>
        <w:tab/>
      </w:r>
      <w:r w:rsidRPr="000D04CC">
        <w:rPr>
          <w:sz w:val="16"/>
          <w:szCs w:val="16"/>
          <w:lang w:eastAsia="zh-CN"/>
        </w:rPr>
        <w:tab/>
        <w:t>Tel: +</w:t>
      </w:r>
      <w:r w:rsidR="00FD243D" w:rsidRPr="00FD243D">
        <w:rPr>
          <w:sz w:val="16"/>
          <w:szCs w:val="16"/>
          <w:lang w:eastAsia="zh-CN"/>
        </w:rPr>
        <w:t>65 64380030</w:t>
      </w:r>
    </w:p>
    <w:p w:rsidR="00BC5F44" w:rsidRPr="000D04CC" w:rsidRDefault="00BC5F44" w:rsidP="00BC5F44">
      <w:pPr>
        <w:jc w:val="both"/>
        <w:rPr>
          <w:snapToGrid w:val="0"/>
        </w:rPr>
      </w:pPr>
    </w:p>
    <w:p w:rsidR="00BC5F44" w:rsidRPr="000D04CC" w:rsidRDefault="00BC5F44" w:rsidP="00BC5F44">
      <w:pPr>
        <w:autoSpaceDE w:val="0"/>
        <w:autoSpaceDN w:val="0"/>
        <w:adjustRightInd w:val="0"/>
        <w:rPr>
          <w:b/>
          <w:bCs/>
          <w:sz w:val="16"/>
          <w:szCs w:val="16"/>
          <w:lang w:eastAsia="zh-CN"/>
        </w:rPr>
      </w:pPr>
      <w:r w:rsidRPr="000D04CC">
        <w:rPr>
          <w:b/>
          <w:bCs/>
          <w:sz w:val="16"/>
          <w:szCs w:val="16"/>
          <w:lang w:eastAsia="zh-CN"/>
        </w:rPr>
        <w:t>EDHEC Risk Institute—North America</w:t>
      </w:r>
      <w:r w:rsidRPr="000D04CC">
        <w:rPr>
          <w:b/>
          <w:bCs/>
          <w:sz w:val="16"/>
          <w:szCs w:val="16"/>
          <w:lang w:eastAsia="zh-CN"/>
        </w:rPr>
        <w:tab/>
      </w:r>
      <w:r w:rsidRPr="000D04CC">
        <w:rPr>
          <w:b/>
          <w:bCs/>
          <w:sz w:val="16"/>
          <w:szCs w:val="16"/>
          <w:lang w:eastAsia="zh-CN"/>
        </w:rPr>
        <w:tab/>
        <w:t>EDHEC Risk Institute—France</w:t>
      </w:r>
    </w:p>
    <w:p w:rsidR="00BC5F44" w:rsidRPr="00B002EF" w:rsidRDefault="00BC5F44" w:rsidP="00BC5F44">
      <w:pPr>
        <w:autoSpaceDE w:val="0"/>
        <w:autoSpaceDN w:val="0"/>
        <w:adjustRightInd w:val="0"/>
        <w:rPr>
          <w:sz w:val="16"/>
          <w:szCs w:val="16"/>
          <w:lang w:val="fr-FR" w:eastAsia="zh-CN"/>
        </w:rPr>
      </w:pPr>
      <w:r w:rsidRPr="00B002EF">
        <w:rPr>
          <w:sz w:val="16"/>
          <w:szCs w:val="16"/>
          <w:lang w:val="fr-FR" w:eastAsia="zh-CN"/>
        </w:rPr>
        <w:t>One Boston Place, 201 Washington Street</w:t>
      </w:r>
      <w:r w:rsidRPr="00B002EF">
        <w:rPr>
          <w:sz w:val="16"/>
          <w:szCs w:val="16"/>
          <w:lang w:val="fr-FR" w:eastAsia="zh-CN"/>
        </w:rPr>
        <w:tab/>
      </w:r>
      <w:r w:rsidRPr="00B002EF">
        <w:rPr>
          <w:sz w:val="16"/>
          <w:szCs w:val="16"/>
          <w:lang w:val="fr-FR" w:eastAsia="zh-CN"/>
        </w:rPr>
        <w:tab/>
        <w:t>16-18 rue du 4 septembre</w:t>
      </w:r>
    </w:p>
    <w:p w:rsidR="00BC5F44" w:rsidRPr="00B002EF" w:rsidRDefault="00BC5F44" w:rsidP="00BC5F44">
      <w:pPr>
        <w:autoSpaceDE w:val="0"/>
        <w:autoSpaceDN w:val="0"/>
        <w:adjustRightInd w:val="0"/>
        <w:rPr>
          <w:sz w:val="16"/>
          <w:szCs w:val="16"/>
          <w:lang w:val="fr-FR" w:eastAsia="zh-CN"/>
        </w:rPr>
      </w:pPr>
      <w:r w:rsidRPr="00B002EF">
        <w:rPr>
          <w:sz w:val="16"/>
          <w:szCs w:val="16"/>
          <w:lang w:val="fr-FR" w:eastAsia="zh-CN"/>
        </w:rPr>
        <w:t>Suite 2608/2640</w:t>
      </w:r>
      <w:r w:rsidRPr="00B002EF">
        <w:rPr>
          <w:sz w:val="16"/>
          <w:szCs w:val="16"/>
          <w:lang w:val="fr-FR" w:eastAsia="zh-CN"/>
        </w:rPr>
        <w:tab/>
      </w:r>
      <w:r w:rsidRPr="00B002EF">
        <w:rPr>
          <w:sz w:val="16"/>
          <w:szCs w:val="16"/>
          <w:lang w:val="fr-FR" w:eastAsia="zh-CN"/>
        </w:rPr>
        <w:tab/>
      </w:r>
      <w:r w:rsidRPr="00B002EF">
        <w:rPr>
          <w:sz w:val="16"/>
          <w:szCs w:val="16"/>
          <w:lang w:val="fr-FR" w:eastAsia="zh-CN"/>
        </w:rPr>
        <w:tab/>
      </w:r>
      <w:r w:rsidRPr="00B002EF">
        <w:rPr>
          <w:sz w:val="16"/>
          <w:szCs w:val="16"/>
          <w:lang w:val="fr-FR" w:eastAsia="zh-CN"/>
        </w:rPr>
        <w:tab/>
        <w:t>75002 Paris</w:t>
      </w:r>
    </w:p>
    <w:p w:rsidR="00BC5F44" w:rsidRPr="000D04CC" w:rsidRDefault="00BC5F44" w:rsidP="00BC5F44">
      <w:pPr>
        <w:autoSpaceDE w:val="0"/>
        <w:autoSpaceDN w:val="0"/>
        <w:adjustRightInd w:val="0"/>
        <w:rPr>
          <w:sz w:val="16"/>
          <w:szCs w:val="16"/>
          <w:lang w:eastAsia="zh-CN"/>
        </w:rPr>
      </w:pPr>
      <w:r w:rsidRPr="000D04CC">
        <w:rPr>
          <w:sz w:val="16"/>
          <w:szCs w:val="16"/>
          <w:lang w:eastAsia="zh-CN"/>
        </w:rPr>
        <w:t>Boston – MA 02108</w:t>
      </w:r>
      <w:r w:rsidRPr="000D04CC">
        <w:rPr>
          <w:sz w:val="16"/>
          <w:szCs w:val="16"/>
          <w:lang w:eastAsia="zh-CN"/>
        </w:rPr>
        <w:tab/>
      </w:r>
      <w:r w:rsidRPr="000D04CC">
        <w:rPr>
          <w:sz w:val="16"/>
          <w:szCs w:val="16"/>
          <w:lang w:eastAsia="zh-CN"/>
        </w:rPr>
        <w:tab/>
      </w:r>
      <w:r w:rsidRPr="000D04CC">
        <w:rPr>
          <w:sz w:val="16"/>
          <w:szCs w:val="16"/>
          <w:lang w:eastAsia="zh-CN"/>
        </w:rPr>
        <w:tab/>
      </w:r>
      <w:r w:rsidRPr="000D04CC">
        <w:rPr>
          <w:sz w:val="16"/>
          <w:szCs w:val="16"/>
          <w:lang w:eastAsia="zh-CN"/>
        </w:rPr>
        <w:tab/>
        <w:t>France</w:t>
      </w:r>
    </w:p>
    <w:p w:rsidR="00BC5F44" w:rsidRPr="000D04CC" w:rsidRDefault="00BC5F44" w:rsidP="00BC5F44">
      <w:pPr>
        <w:autoSpaceDE w:val="0"/>
        <w:autoSpaceDN w:val="0"/>
        <w:adjustRightInd w:val="0"/>
        <w:rPr>
          <w:sz w:val="16"/>
          <w:szCs w:val="16"/>
          <w:lang w:eastAsia="zh-CN"/>
        </w:rPr>
      </w:pPr>
      <w:r w:rsidRPr="000D04CC">
        <w:rPr>
          <w:sz w:val="16"/>
          <w:szCs w:val="16"/>
          <w:lang w:eastAsia="zh-CN"/>
        </w:rPr>
        <w:t>United States of America</w:t>
      </w:r>
      <w:r w:rsidRPr="000D04CC">
        <w:rPr>
          <w:sz w:val="16"/>
          <w:szCs w:val="16"/>
          <w:lang w:eastAsia="zh-CN"/>
        </w:rPr>
        <w:tab/>
      </w:r>
      <w:r w:rsidRPr="000D04CC">
        <w:rPr>
          <w:sz w:val="16"/>
          <w:szCs w:val="16"/>
          <w:lang w:eastAsia="zh-CN"/>
        </w:rPr>
        <w:tab/>
      </w:r>
      <w:r w:rsidRPr="000D04CC">
        <w:rPr>
          <w:sz w:val="16"/>
          <w:szCs w:val="16"/>
          <w:lang w:eastAsia="zh-CN"/>
        </w:rPr>
        <w:tab/>
        <w:t>Tel: +33 153 327 630</w:t>
      </w:r>
    </w:p>
    <w:p w:rsidR="00BC5F44" w:rsidRPr="000B174B" w:rsidRDefault="006C6845" w:rsidP="00BC5F44">
      <w:pPr>
        <w:autoSpaceDE w:val="0"/>
        <w:autoSpaceDN w:val="0"/>
        <w:adjustRightInd w:val="0"/>
        <w:rPr>
          <w:sz w:val="20"/>
          <w:szCs w:val="20"/>
          <w:lang w:val="es-ES" w:eastAsia="zh-CN"/>
        </w:rPr>
      </w:pPr>
      <w:r w:rsidRPr="006C6845">
        <w:rPr>
          <w:sz w:val="16"/>
          <w:szCs w:val="16"/>
          <w:lang w:val="es-ES" w:eastAsia="zh-CN"/>
        </w:rPr>
        <w:t>Tel: +1 857 239 8891</w:t>
      </w:r>
      <w:r w:rsidRPr="006C6845">
        <w:rPr>
          <w:sz w:val="16"/>
          <w:szCs w:val="16"/>
          <w:lang w:val="es-ES" w:eastAsia="zh-CN"/>
        </w:rPr>
        <w:tab/>
      </w:r>
      <w:r w:rsidRPr="006C6845">
        <w:rPr>
          <w:sz w:val="16"/>
          <w:szCs w:val="16"/>
          <w:lang w:val="es-ES" w:eastAsia="zh-CN"/>
        </w:rPr>
        <w:tab/>
      </w:r>
      <w:r w:rsidRPr="006C6845">
        <w:rPr>
          <w:sz w:val="16"/>
          <w:szCs w:val="16"/>
          <w:lang w:val="es-ES" w:eastAsia="zh-CN"/>
        </w:rPr>
        <w:tab/>
      </w:r>
    </w:p>
    <w:p w:rsidR="00BC5F44" w:rsidRPr="000B174B" w:rsidRDefault="00BC5F44" w:rsidP="00BC5F44">
      <w:pPr>
        <w:jc w:val="both"/>
        <w:rPr>
          <w:snapToGrid w:val="0"/>
          <w:sz w:val="22"/>
          <w:szCs w:val="22"/>
          <w:lang w:val="es-ES"/>
        </w:rPr>
      </w:pPr>
    </w:p>
    <w:p w:rsidR="00BC5F44" w:rsidRPr="000B174B" w:rsidRDefault="001A1240" w:rsidP="00BC5F44">
      <w:pPr>
        <w:autoSpaceDE w:val="0"/>
        <w:autoSpaceDN w:val="0"/>
        <w:adjustRightInd w:val="0"/>
        <w:rPr>
          <w:bCs/>
          <w:sz w:val="22"/>
          <w:szCs w:val="22"/>
          <w:lang w:val="es-ES" w:eastAsia="zh-CN"/>
        </w:rPr>
      </w:pPr>
      <w:hyperlink r:id="rId14" w:history="1">
        <w:r w:rsidR="006C6845" w:rsidRPr="006C6845">
          <w:rPr>
            <w:rStyle w:val="Lienhypertexte"/>
            <w:rFonts w:eastAsia="SimSun"/>
            <w:sz w:val="22"/>
            <w:szCs w:val="22"/>
            <w:lang w:val="es-ES" w:eastAsia="zh-CN"/>
          </w:rPr>
          <w:t>www.edhec-risk.com</w:t>
        </w:r>
      </w:hyperlink>
    </w:p>
    <w:p w:rsidR="00087BE7" w:rsidRPr="000B174B" w:rsidRDefault="00087BE7" w:rsidP="00783A46">
      <w:pPr>
        <w:autoSpaceDE w:val="0"/>
        <w:autoSpaceDN w:val="0"/>
        <w:adjustRightInd w:val="0"/>
        <w:jc w:val="both"/>
        <w:rPr>
          <w:snapToGrid w:val="0"/>
          <w:color w:val="000000"/>
          <w:sz w:val="20"/>
          <w:szCs w:val="20"/>
          <w:lang w:val="es-ES"/>
        </w:rPr>
      </w:pPr>
    </w:p>
    <w:p w:rsidR="00BC5F44" w:rsidRPr="000B174B" w:rsidRDefault="00BC5F44" w:rsidP="00783A46">
      <w:pPr>
        <w:autoSpaceDE w:val="0"/>
        <w:autoSpaceDN w:val="0"/>
        <w:adjustRightInd w:val="0"/>
        <w:jc w:val="both"/>
        <w:rPr>
          <w:snapToGrid w:val="0"/>
          <w:color w:val="000000"/>
          <w:sz w:val="20"/>
          <w:szCs w:val="20"/>
          <w:lang w:val="es-ES"/>
        </w:rPr>
      </w:pPr>
    </w:p>
    <w:p w:rsidR="00AE16B6" w:rsidRPr="00AE16B6" w:rsidRDefault="00AE16B6" w:rsidP="00AE16B6">
      <w:pPr>
        <w:spacing w:line="280" w:lineRule="atLeast"/>
        <w:rPr>
          <w:rFonts w:eastAsia="MS Mincho"/>
          <w:snapToGrid w:val="0"/>
          <w:lang w:val="en-US"/>
        </w:rPr>
      </w:pPr>
      <w:r w:rsidRPr="00AE16B6">
        <w:rPr>
          <w:rFonts w:eastAsia="MS Mincho"/>
          <w:b/>
          <w:bCs/>
          <w:snapToGrid w:val="0"/>
          <w:sz w:val="28"/>
          <w:szCs w:val="28"/>
        </w:rPr>
        <w:t xml:space="preserve">About </w:t>
      </w:r>
      <w:proofErr w:type="spellStart"/>
      <w:r w:rsidRPr="00AE16B6">
        <w:rPr>
          <w:rFonts w:eastAsia="MS Mincho"/>
          <w:b/>
          <w:bCs/>
          <w:snapToGrid w:val="0"/>
          <w:sz w:val="28"/>
          <w:szCs w:val="28"/>
        </w:rPr>
        <w:t>Amundi</w:t>
      </w:r>
      <w:proofErr w:type="spellEnd"/>
    </w:p>
    <w:p w:rsidR="00AE16B6" w:rsidRPr="00AE16B6" w:rsidRDefault="00AE16B6" w:rsidP="00AE16B6">
      <w:pPr>
        <w:spacing w:line="280" w:lineRule="atLeast"/>
        <w:rPr>
          <w:rFonts w:eastAsia="MS Mincho"/>
          <w:snapToGrid w:val="0"/>
        </w:rPr>
      </w:pPr>
    </w:p>
    <w:p w:rsidR="00AE16B6" w:rsidRPr="00AE16B6" w:rsidRDefault="00AE16B6" w:rsidP="00AE16B6">
      <w:pPr>
        <w:spacing w:line="280" w:lineRule="atLeast"/>
        <w:jc w:val="both"/>
        <w:rPr>
          <w:rFonts w:eastAsia="MS Mincho"/>
          <w:snapToGrid w:val="0"/>
          <w:sz w:val="22"/>
          <w:szCs w:val="22"/>
        </w:rPr>
      </w:pPr>
      <w:proofErr w:type="spellStart"/>
      <w:r w:rsidRPr="00AE16B6">
        <w:rPr>
          <w:rFonts w:eastAsia="MS Mincho"/>
          <w:snapToGrid w:val="0"/>
          <w:sz w:val="22"/>
          <w:szCs w:val="22"/>
        </w:rPr>
        <w:t>Amundi</w:t>
      </w:r>
      <w:proofErr w:type="spellEnd"/>
      <w:r w:rsidRPr="00AE16B6">
        <w:rPr>
          <w:rFonts w:eastAsia="MS Mincho"/>
          <w:snapToGrid w:val="0"/>
          <w:sz w:val="22"/>
          <w:szCs w:val="22"/>
        </w:rPr>
        <w:t xml:space="preserve"> is the European leader and in the Top 10 worldwide in the asset management industry</w:t>
      </w:r>
      <w:r w:rsidRPr="00AE16B6">
        <w:rPr>
          <w:rFonts w:eastAsia="MS Mincho"/>
          <w:snapToGrid w:val="0"/>
          <w:sz w:val="22"/>
          <w:szCs w:val="22"/>
          <w:vertAlign w:val="superscript"/>
        </w:rPr>
        <w:t>1</w:t>
      </w:r>
      <w:r w:rsidRPr="00AE16B6">
        <w:rPr>
          <w:rFonts w:eastAsia="MS Mincho"/>
          <w:snapToGrid w:val="0"/>
          <w:sz w:val="22"/>
          <w:szCs w:val="22"/>
        </w:rPr>
        <w:t xml:space="preserve"> with AUM of more than €950 billion worldwide</w:t>
      </w:r>
      <w:r w:rsidRPr="00AE16B6">
        <w:rPr>
          <w:rFonts w:eastAsia="MS Mincho"/>
          <w:snapToGrid w:val="0"/>
          <w:sz w:val="22"/>
          <w:szCs w:val="22"/>
          <w:vertAlign w:val="superscript"/>
        </w:rPr>
        <w:t>2</w:t>
      </w:r>
      <w:r w:rsidRPr="00AE16B6">
        <w:rPr>
          <w:rFonts w:eastAsia="MS Mincho"/>
          <w:snapToGrid w:val="0"/>
          <w:sz w:val="22"/>
          <w:szCs w:val="22"/>
        </w:rPr>
        <w:t>.</w:t>
      </w:r>
    </w:p>
    <w:p w:rsidR="00AE16B6" w:rsidRPr="00AE16B6" w:rsidRDefault="00AE16B6" w:rsidP="00AE16B6">
      <w:pPr>
        <w:spacing w:line="280" w:lineRule="atLeast"/>
        <w:jc w:val="both"/>
        <w:rPr>
          <w:rFonts w:eastAsia="MS Mincho"/>
          <w:snapToGrid w:val="0"/>
          <w:sz w:val="22"/>
          <w:szCs w:val="22"/>
        </w:rPr>
      </w:pPr>
    </w:p>
    <w:p w:rsidR="00AE16B6" w:rsidRPr="00AE16B6" w:rsidRDefault="00AE16B6" w:rsidP="00AE16B6">
      <w:pPr>
        <w:spacing w:line="280" w:lineRule="atLeast"/>
        <w:jc w:val="both"/>
        <w:rPr>
          <w:rFonts w:eastAsia="MS Mincho"/>
          <w:snapToGrid w:val="0"/>
          <w:sz w:val="22"/>
          <w:szCs w:val="22"/>
        </w:rPr>
      </w:pPr>
      <w:r w:rsidRPr="00AE16B6">
        <w:rPr>
          <w:rFonts w:eastAsia="MS Mincho"/>
          <w:snapToGrid w:val="0"/>
          <w:sz w:val="22"/>
          <w:szCs w:val="22"/>
        </w:rPr>
        <w:t xml:space="preserve">Located at the heart of the main investment regions in more than 30 countries, </w:t>
      </w:r>
      <w:proofErr w:type="spellStart"/>
      <w:r w:rsidRPr="00AE16B6">
        <w:rPr>
          <w:rFonts w:eastAsia="MS Mincho"/>
          <w:snapToGrid w:val="0"/>
          <w:sz w:val="22"/>
          <w:szCs w:val="22"/>
        </w:rPr>
        <w:t>Amundi</w:t>
      </w:r>
      <w:proofErr w:type="spellEnd"/>
      <w:r w:rsidRPr="00AE16B6">
        <w:rPr>
          <w:rFonts w:eastAsia="MS Mincho"/>
          <w:snapToGrid w:val="0"/>
          <w:sz w:val="22"/>
          <w:szCs w:val="22"/>
        </w:rPr>
        <w:t xml:space="preserve"> offers a comprehensive range of products covering all asset classes and major currencies.</w:t>
      </w:r>
    </w:p>
    <w:p w:rsidR="00AE16B6" w:rsidRPr="00AE16B6" w:rsidRDefault="00AE16B6" w:rsidP="00AE16B6">
      <w:pPr>
        <w:spacing w:line="280" w:lineRule="atLeast"/>
        <w:jc w:val="both"/>
        <w:rPr>
          <w:rFonts w:eastAsia="MS Mincho"/>
          <w:snapToGrid w:val="0"/>
          <w:sz w:val="22"/>
          <w:szCs w:val="22"/>
        </w:rPr>
      </w:pPr>
    </w:p>
    <w:p w:rsidR="00AE16B6" w:rsidRPr="00AE16B6" w:rsidRDefault="00AE16B6" w:rsidP="00AE16B6">
      <w:pPr>
        <w:spacing w:line="280" w:lineRule="atLeast"/>
        <w:jc w:val="both"/>
        <w:rPr>
          <w:rFonts w:eastAsia="MS Mincho"/>
          <w:snapToGrid w:val="0"/>
          <w:sz w:val="22"/>
          <w:szCs w:val="22"/>
        </w:rPr>
      </w:pPr>
      <w:proofErr w:type="spellStart"/>
      <w:r w:rsidRPr="00AE16B6">
        <w:rPr>
          <w:rFonts w:eastAsia="MS Mincho"/>
          <w:snapToGrid w:val="0"/>
          <w:sz w:val="22"/>
          <w:szCs w:val="22"/>
        </w:rPr>
        <w:t>Amundi</w:t>
      </w:r>
      <w:proofErr w:type="spellEnd"/>
      <w:r w:rsidRPr="00AE16B6">
        <w:rPr>
          <w:rFonts w:eastAsia="MS Mincho"/>
          <w:snapToGrid w:val="0"/>
          <w:sz w:val="22"/>
          <w:szCs w:val="22"/>
        </w:rPr>
        <w:t xml:space="preserve"> has developed savings solutions to meet the needs of more than 100 million retail clients worldwide and designs innovative, high-performing products for institutional clients </w:t>
      </w:r>
      <w:proofErr w:type="gramStart"/>
      <w:r w:rsidRPr="00AE16B6">
        <w:rPr>
          <w:rFonts w:eastAsia="MS Mincho"/>
          <w:snapToGrid w:val="0"/>
          <w:sz w:val="22"/>
          <w:szCs w:val="22"/>
        </w:rPr>
        <w:t>which</w:t>
      </w:r>
      <w:proofErr w:type="gramEnd"/>
      <w:r w:rsidRPr="00AE16B6">
        <w:rPr>
          <w:rFonts w:eastAsia="MS Mincho"/>
          <w:snapToGrid w:val="0"/>
          <w:sz w:val="22"/>
          <w:szCs w:val="22"/>
        </w:rPr>
        <w:t xml:space="preserve"> are tailored specifically to their requirements and risk profile.</w:t>
      </w:r>
    </w:p>
    <w:p w:rsidR="00AE16B6" w:rsidRPr="00AE16B6" w:rsidRDefault="00AE16B6" w:rsidP="00AE16B6">
      <w:pPr>
        <w:spacing w:line="280" w:lineRule="atLeast"/>
        <w:jc w:val="both"/>
        <w:rPr>
          <w:rFonts w:eastAsia="MS Mincho"/>
          <w:snapToGrid w:val="0"/>
          <w:sz w:val="22"/>
          <w:szCs w:val="22"/>
        </w:rPr>
      </w:pPr>
      <w:r w:rsidRPr="00AE16B6">
        <w:rPr>
          <w:rFonts w:eastAsia="MS Mincho"/>
          <w:snapToGrid w:val="0"/>
          <w:sz w:val="22"/>
          <w:szCs w:val="22"/>
        </w:rPr>
        <w:t>The Group contributes to funding the economy by orienting savings towards company development.</w:t>
      </w:r>
    </w:p>
    <w:p w:rsidR="00AE16B6" w:rsidRPr="00AE16B6" w:rsidRDefault="00AE16B6" w:rsidP="00AE16B6">
      <w:pPr>
        <w:spacing w:line="280" w:lineRule="atLeast"/>
        <w:jc w:val="both"/>
        <w:rPr>
          <w:rFonts w:eastAsia="MS Mincho"/>
          <w:snapToGrid w:val="0"/>
          <w:sz w:val="22"/>
          <w:szCs w:val="22"/>
        </w:rPr>
      </w:pPr>
    </w:p>
    <w:p w:rsidR="00AE16B6" w:rsidRPr="00AE16B6" w:rsidRDefault="00AE16B6" w:rsidP="00AE16B6">
      <w:pPr>
        <w:spacing w:line="280" w:lineRule="atLeast"/>
        <w:jc w:val="both"/>
        <w:rPr>
          <w:rFonts w:eastAsia="MS Mincho"/>
          <w:snapToGrid w:val="0"/>
          <w:sz w:val="22"/>
          <w:szCs w:val="22"/>
        </w:rPr>
      </w:pPr>
      <w:proofErr w:type="spellStart"/>
      <w:r w:rsidRPr="00AE16B6">
        <w:rPr>
          <w:rFonts w:eastAsia="MS Mincho"/>
          <w:snapToGrid w:val="0"/>
          <w:sz w:val="22"/>
          <w:szCs w:val="22"/>
        </w:rPr>
        <w:t>Amundi</w:t>
      </w:r>
      <w:proofErr w:type="spellEnd"/>
      <w:r w:rsidRPr="00AE16B6">
        <w:rPr>
          <w:rFonts w:eastAsia="MS Mincho"/>
          <w:snapToGrid w:val="0"/>
          <w:sz w:val="22"/>
          <w:szCs w:val="22"/>
        </w:rPr>
        <w:t xml:space="preserve"> has become a leading European player in asset management, recognised for:</w:t>
      </w:r>
    </w:p>
    <w:p w:rsidR="00AE16B6" w:rsidRPr="00AE16B6" w:rsidRDefault="00AE16B6" w:rsidP="00AE16B6">
      <w:pPr>
        <w:pStyle w:val="Paragraphedeliste"/>
        <w:widowControl w:val="0"/>
        <w:numPr>
          <w:ilvl w:val="0"/>
          <w:numId w:val="18"/>
        </w:numPr>
        <w:tabs>
          <w:tab w:val="clear" w:pos="709"/>
          <w:tab w:val="left" w:pos="0"/>
        </w:tabs>
        <w:autoSpaceDE w:val="0"/>
        <w:autoSpaceDN w:val="0"/>
        <w:adjustRightInd w:val="0"/>
        <w:spacing w:after="0" w:line="280" w:lineRule="atLeast"/>
        <w:ind w:left="567" w:hanging="207"/>
        <w:jc w:val="left"/>
        <w:rPr>
          <w:rFonts w:ascii="Times New Roman" w:eastAsia="MS Mincho" w:hAnsi="Times New Roman" w:cs="Times New Roman"/>
          <w:snapToGrid w:val="0"/>
        </w:rPr>
      </w:pPr>
      <w:r w:rsidRPr="00AE16B6">
        <w:rPr>
          <w:rFonts w:ascii="Times New Roman" w:eastAsia="MS Mincho" w:hAnsi="Times New Roman" w:cs="Times New Roman"/>
          <w:snapToGrid w:val="0"/>
        </w:rPr>
        <w:t xml:space="preserve">Product performance and transparency; </w:t>
      </w:r>
    </w:p>
    <w:p w:rsidR="00AE16B6" w:rsidRPr="00AE16B6" w:rsidRDefault="00AE16B6" w:rsidP="00AE16B6">
      <w:pPr>
        <w:pStyle w:val="Paragraphedeliste"/>
        <w:widowControl w:val="0"/>
        <w:numPr>
          <w:ilvl w:val="0"/>
          <w:numId w:val="18"/>
        </w:numPr>
        <w:tabs>
          <w:tab w:val="clear" w:pos="709"/>
        </w:tabs>
        <w:autoSpaceDE w:val="0"/>
        <w:autoSpaceDN w:val="0"/>
        <w:adjustRightInd w:val="0"/>
        <w:spacing w:after="0" w:line="280" w:lineRule="atLeast"/>
        <w:ind w:left="567" w:hanging="207"/>
        <w:jc w:val="left"/>
        <w:rPr>
          <w:rFonts w:ascii="Times New Roman" w:eastAsia="MS Mincho" w:hAnsi="Times New Roman" w:cs="Times New Roman"/>
          <w:snapToGrid w:val="0"/>
        </w:rPr>
      </w:pPr>
      <w:r w:rsidRPr="00AE16B6">
        <w:rPr>
          <w:rFonts w:ascii="Times New Roman" w:eastAsia="MS Mincho" w:hAnsi="Times New Roman" w:cs="Times New Roman"/>
          <w:snapToGrid w:val="0"/>
        </w:rPr>
        <w:t>Quality of client relationships based on a long-term advisory approach;</w:t>
      </w:r>
    </w:p>
    <w:p w:rsidR="00AE16B6" w:rsidRPr="00AE16B6" w:rsidRDefault="00AE16B6" w:rsidP="00AE16B6">
      <w:pPr>
        <w:pStyle w:val="Paragraphedeliste"/>
        <w:widowControl w:val="0"/>
        <w:numPr>
          <w:ilvl w:val="0"/>
          <w:numId w:val="18"/>
        </w:numPr>
        <w:tabs>
          <w:tab w:val="clear" w:pos="709"/>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atLeast"/>
        <w:jc w:val="left"/>
        <w:rPr>
          <w:rFonts w:ascii="Times New Roman" w:eastAsia="MS Mincho" w:hAnsi="Times New Roman" w:cs="Times New Roman"/>
          <w:snapToGrid w:val="0"/>
        </w:rPr>
      </w:pPr>
      <w:r w:rsidRPr="00AE16B6">
        <w:rPr>
          <w:rFonts w:ascii="Times New Roman" w:eastAsia="MS Mincho" w:hAnsi="Times New Roman" w:cs="Times New Roman"/>
          <w:snapToGrid w:val="0"/>
        </w:rPr>
        <w:t xml:space="preserve">Efficiency in its organisation and teams’ promise to serving its clients; </w:t>
      </w:r>
    </w:p>
    <w:p w:rsidR="00AE16B6" w:rsidRPr="00AE16B6" w:rsidRDefault="00AE16B6" w:rsidP="00AE16B6">
      <w:pPr>
        <w:pStyle w:val="Paragraphedeliste"/>
        <w:widowControl w:val="0"/>
        <w:numPr>
          <w:ilvl w:val="0"/>
          <w:numId w:val="18"/>
        </w:numPr>
        <w:tabs>
          <w:tab w:val="clear" w:pos="709"/>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atLeast"/>
        <w:ind w:left="567" w:right="-284" w:hanging="207"/>
        <w:jc w:val="left"/>
        <w:rPr>
          <w:rFonts w:ascii="Times New Roman" w:eastAsia="MS Mincho" w:hAnsi="Times New Roman" w:cs="Times New Roman"/>
          <w:snapToGrid w:val="0"/>
        </w:rPr>
      </w:pPr>
      <w:r w:rsidRPr="00AE16B6">
        <w:rPr>
          <w:rFonts w:ascii="Times New Roman" w:eastAsia="MS Mincho" w:hAnsi="Times New Roman" w:cs="Times New Roman"/>
          <w:snapToGrid w:val="0"/>
        </w:rPr>
        <w:t>Commitment to sustainable development and socially responsible investment policies.</w:t>
      </w:r>
    </w:p>
    <w:p w:rsidR="00AE16B6" w:rsidRPr="00AE16B6" w:rsidRDefault="00AE16B6" w:rsidP="00AE16B6">
      <w:pPr>
        <w:pStyle w:val="Paragraphedeliste"/>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atLeast"/>
        <w:ind w:left="0" w:right="-284"/>
        <w:rPr>
          <w:rFonts w:ascii="Times New Roman" w:eastAsia="MS Mincho" w:hAnsi="Times New Roman" w:cs="Times New Roman"/>
          <w:snapToGrid w:val="0"/>
        </w:rPr>
      </w:pPr>
    </w:p>
    <w:p w:rsidR="00AE16B6" w:rsidRPr="00AE16B6" w:rsidRDefault="00AE16B6" w:rsidP="00AE16B6">
      <w:pPr>
        <w:spacing w:line="280" w:lineRule="atLeast"/>
        <w:ind w:left="142" w:hanging="142"/>
        <w:jc w:val="both"/>
        <w:rPr>
          <w:i/>
          <w:sz w:val="16"/>
          <w:szCs w:val="16"/>
          <w:lang w:val="en-US"/>
        </w:rPr>
      </w:pPr>
      <w:r w:rsidRPr="00AE16B6">
        <w:rPr>
          <w:i/>
          <w:iCs/>
          <w:sz w:val="16"/>
          <w:szCs w:val="16"/>
          <w:lang w:val="en-US"/>
        </w:rPr>
        <w:t>1.</w:t>
      </w:r>
      <w:r w:rsidRPr="00AE16B6">
        <w:rPr>
          <w:i/>
          <w:sz w:val="16"/>
          <w:szCs w:val="16"/>
          <w:lang w:val="en-US"/>
        </w:rPr>
        <w:t xml:space="preserve"> Largest European asset manager based on total assets under Management (AUM)- Source IPE “Top 400 asset managers” published in June 2014 and based on AUM as at December 2013, all AUM having been re-calculated by </w:t>
      </w:r>
      <w:proofErr w:type="spellStart"/>
      <w:r w:rsidRPr="00AE16B6">
        <w:rPr>
          <w:i/>
          <w:sz w:val="16"/>
          <w:szCs w:val="16"/>
          <w:lang w:val="en-US"/>
        </w:rPr>
        <w:t>Amundi</w:t>
      </w:r>
      <w:proofErr w:type="spellEnd"/>
      <w:r w:rsidRPr="00AE16B6">
        <w:rPr>
          <w:i/>
          <w:sz w:val="16"/>
          <w:szCs w:val="16"/>
          <w:lang w:val="en-US"/>
        </w:rPr>
        <w:t xml:space="preserve"> to exclude (</w:t>
      </w:r>
      <w:proofErr w:type="spellStart"/>
      <w:r w:rsidRPr="00AE16B6">
        <w:rPr>
          <w:i/>
          <w:sz w:val="16"/>
          <w:szCs w:val="16"/>
          <w:lang w:val="en-US"/>
        </w:rPr>
        <w:t>i</w:t>
      </w:r>
      <w:proofErr w:type="spellEnd"/>
      <w:r w:rsidRPr="00AE16B6">
        <w:rPr>
          <w:i/>
          <w:sz w:val="16"/>
          <w:szCs w:val="16"/>
          <w:lang w:val="en-US"/>
        </w:rPr>
        <w:t>) Wealth Management activities and (ii) asset managers having their parent/holding company outside Europe.</w:t>
      </w:r>
    </w:p>
    <w:p w:rsidR="00AE16B6" w:rsidRPr="00AE16B6" w:rsidRDefault="00AE16B6" w:rsidP="00AE16B6">
      <w:pPr>
        <w:spacing w:line="280" w:lineRule="atLeast"/>
        <w:ind w:left="142" w:hanging="142"/>
        <w:jc w:val="both"/>
        <w:rPr>
          <w:i/>
          <w:iCs/>
          <w:sz w:val="16"/>
          <w:szCs w:val="16"/>
          <w:lang w:val="en-US"/>
        </w:rPr>
      </w:pPr>
      <w:r w:rsidRPr="00AE16B6">
        <w:rPr>
          <w:i/>
          <w:sz w:val="16"/>
          <w:szCs w:val="16"/>
          <w:lang w:val="en-US"/>
        </w:rPr>
        <w:t xml:space="preserve">2. </w:t>
      </w:r>
      <w:proofErr w:type="spellStart"/>
      <w:r w:rsidRPr="00AE16B6">
        <w:rPr>
          <w:i/>
          <w:iCs/>
          <w:sz w:val="16"/>
          <w:szCs w:val="16"/>
          <w:lang w:val="en-US"/>
        </w:rPr>
        <w:t>Amundi</w:t>
      </w:r>
      <w:proofErr w:type="spellEnd"/>
      <w:r w:rsidRPr="00AE16B6">
        <w:rPr>
          <w:i/>
          <w:iCs/>
          <w:sz w:val="16"/>
          <w:szCs w:val="16"/>
          <w:lang w:val="en-US"/>
        </w:rPr>
        <w:t xml:space="preserve"> Group figures as of 31 March 2015.</w:t>
      </w:r>
    </w:p>
    <w:p w:rsidR="00AE16B6" w:rsidRPr="00AE16B6" w:rsidRDefault="00AE16B6" w:rsidP="00AE16B6">
      <w:pPr>
        <w:spacing w:line="280" w:lineRule="atLeast"/>
        <w:jc w:val="both"/>
        <w:rPr>
          <w:i/>
          <w:iCs/>
          <w:sz w:val="16"/>
          <w:szCs w:val="16"/>
          <w:lang w:val="en-US"/>
        </w:rPr>
      </w:pPr>
    </w:p>
    <w:p w:rsidR="00AE16B6" w:rsidRPr="00AE16B6" w:rsidRDefault="00AE16B6" w:rsidP="00AE16B6">
      <w:pPr>
        <w:autoSpaceDE w:val="0"/>
        <w:autoSpaceDN w:val="0"/>
        <w:spacing w:line="280" w:lineRule="atLeast"/>
        <w:rPr>
          <w:i/>
          <w:spacing w:val="1"/>
          <w:sz w:val="16"/>
          <w:szCs w:val="16"/>
          <w:lang w:val="en-US"/>
        </w:rPr>
      </w:pPr>
      <w:r w:rsidRPr="00AE16B6">
        <w:rPr>
          <w:i/>
          <w:spacing w:val="1"/>
          <w:sz w:val="16"/>
          <w:szCs w:val="16"/>
          <w:lang w:val="en-US"/>
        </w:rPr>
        <w:t xml:space="preserve">Issued by </w:t>
      </w:r>
      <w:proofErr w:type="spellStart"/>
      <w:r w:rsidRPr="00AE16B6">
        <w:rPr>
          <w:i/>
          <w:spacing w:val="1"/>
          <w:sz w:val="16"/>
          <w:szCs w:val="16"/>
          <w:lang w:val="en-US"/>
        </w:rPr>
        <w:t>Amundi</w:t>
      </w:r>
      <w:proofErr w:type="spellEnd"/>
      <w:r w:rsidRPr="00AE16B6">
        <w:rPr>
          <w:i/>
          <w:spacing w:val="1"/>
          <w:sz w:val="16"/>
          <w:szCs w:val="16"/>
          <w:lang w:val="en-US"/>
        </w:rPr>
        <w:t xml:space="preserve"> - </w:t>
      </w:r>
      <w:proofErr w:type="spellStart"/>
      <w:r w:rsidRPr="00AE16B6">
        <w:rPr>
          <w:i/>
          <w:iCs/>
          <w:spacing w:val="1"/>
          <w:sz w:val="16"/>
          <w:szCs w:val="16"/>
          <w:lang w:val="en-US"/>
        </w:rPr>
        <w:t>Société</w:t>
      </w:r>
      <w:proofErr w:type="spellEnd"/>
      <w:r w:rsidRPr="00AE16B6">
        <w:rPr>
          <w:i/>
          <w:iCs/>
          <w:spacing w:val="1"/>
          <w:sz w:val="16"/>
          <w:szCs w:val="16"/>
          <w:lang w:val="en-US"/>
        </w:rPr>
        <w:t xml:space="preserve"> </w:t>
      </w:r>
      <w:proofErr w:type="spellStart"/>
      <w:r w:rsidRPr="00AE16B6">
        <w:rPr>
          <w:i/>
          <w:iCs/>
          <w:spacing w:val="1"/>
          <w:sz w:val="16"/>
          <w:szCs w:val="16"/>
          <w:lang w:val="en-US"/>
        </w:rPr>
        <w:t>anonyme</w:t>
      </w:r>
      <w:proofErr w:type="spellEnd"/>
      <w:r w:rsidRPr="00AE16B6">
        <w:rPr>
          <w:i/>
          <w:spacing w:val="1"/>
          <w:sz w:val="16"/>
          <w:szCs w:val="16"/>
          <w:lang w:val="en-US"/>
        </w:rPr>
        <w:t xml:space="preserve"> with a share capital of €</w:t>
      </w:r>
      <w:r w:rsidRPr="00AE16B6">
        <w:rPr>
          <w:i/>
          <w:sz w:val="16"/>
          <w:szCs w:val="16"/>
          <w:lang w:val="en-US"/>
        </w:rPr>
        <w:t xml:space="preserve">596 262 615 </w:t>
      </w:r>
      <w:r w:rsidRPr="00AE16B6">
        <w:rPr>
          <w:i/>
          <w:spacing w:val="1"/>
          <w:sz w:val="16"/>
          <w:szCs w:val="16"/>
          <w:lang w:val="en-US"/>
        </w:rPr>
        <w:t>- Portfolio manager regulated by the AMF under number GP04000036 - Head office: 90 boulevard Pasteur – 75015 Paris – France – 437 574 452 RCS Paris</w:t>
      </w:r>
    </w:p>
    <w:p w:rsidR="00AE16B6" w:rsidRPr="00AE16B6" w:rsidRDefault="00AE16B6" w:rsidP="00AE16B6">
      <w:pPr>
        <w:spacing w:line="280" w:lineRule="atLeast"/>
        <w:rPr>
          <w:lang w:val="en-US"/>
        </w:rPr>
      </w:pPr>
    </w:p>
    <w:p w:rsidR="00AE16B6" w:rsidRPr="00AE16B6" w:rsidRDefault="00AE16B6" w:rsidP="00AE16B6">
      <w:pPr>
        <w:spacing w:line="280" w:lineRule="atLeast"/>
        <w:rPr>
          <w:lang w:val="en-US"/>
        </w:rPr>
      </w:pPr>
    </w:p>
    <w:p w:rsidR="00AE16B6" w:rsidRPr="00640625" w:rsidRDefault="001A1240" w:rsidP="00AE16B6">
      <w:pPr>
        <w:spacing w:line="280" w:lineRule="atLeast"/>
        <w:jc w:val="both"/>
        <w:rPr>
          <w:rFonts w:eastAsia="MS Mincho"/>
          <w:bCs/>
          <w:snapToGrid w:val="0"/>
          <w:color w:val="001C4B"/>
        </w:rPr>
      </w:pPr>
      <w:hyperlink r:id="rId15" w:history="1">
        <w:r w:rsidR="00640625" w:rsidRPr="00640625">
          <w:rPr>
            <w:rStyle w:val="Lienhypertexte"/>
            <w:rFonts w:eastAsia="MS Mincho"/>
            <w:bCs/>
            <w:snapToGrid w:val="0"/>
          </w:rPr>
          <w:t>www.amundi.com</w:t>
        </w:r>
      </w:hyperlink>
    </w:p>
    <w:p w:rsidR="00AE16B6" w:rsidRPr="00AE16B6" w:rsidRDefault="00AE16B6" w:rsidP="00AE16B6">
      <w:pPr>
        <w:spacing w:line="280" w:lineRule="atLeast"/>
        <w:jc w:val="both"/>
        <w:rPr>
          <w:rFonts w:eastAsia="MS Mincho"/>
          <w:b/>
          <w:snapToGrid w:val="0"/>
          <w:color w:val="001C4B"/>
          <w:sz w:val="16"/>
          <w:szCs w:val="16"/>
        </w:rPr>
      </w:pPr>
      <w:r w:rsidRPr="00AE16B6">
        <w:rPr>
          <w:noProof/>
          <w:lang w:val="fr-FR"/>
        </w:rPr>
        <w:drawing>
          <wp:anchor distT="0" distB="0" distL="114300" distR="114300" simplePos="0" relativeHeight="251660288" behindDoc="1" locked="0" layoutInCell="1" allowOverlap="1">
            <wp:simplePos x="0" y="0"/>
            <wp:positionH relativeFrom="column">
              <wp:posOffset>16510</wp:posOffset>
            </wp:positionH>
            <wp:positionV relativeFrom="paragraph">
              <wp:posOffset>117475</wp:posOffset>
            </wp:positionV>
            <wp:extent cx="228600" cy="228600"/>
            <wp:effectExtent l="19050" t="0" r="0" b="0"/>
            <wp:wrapTight wrapText="bothSides">
              <wp:wrapPolygon edited="0">
                <wp:start x="-1800" y="0"/>
                <wp:lineTo x="-1800" y="19800"/>
                <wp:lineTo x="21600" y="19800"/>
                <wp:lineTo x="21600" y="0"/>
                <wp:lineTo x="-1800" y="0"/>
              </wp:wrapPolygon>
            </wp:wrapTight>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srcRect/>
                    <a:stretch>
                      <a:fillRect/>
                    </a:stretch>
                  </pic:blipFill>
                  <pic:spPr bwMode="auto">
                    <a:xfrm>
                      <a:off x="0" y="0"/>
                      <a:ext cx="228600" cy="228600"/>
                    </a:xfrm>
                    <a:prstGeom prst="rect">
                      <a:avLst/>
                    </a:prstGeom>
                    <a:noFill/>
                    <a:ln w="9525">
                      <a:noFill/>
                      <a:miter lim="800000"/>
                      <a:headEnd/>
                      <a:tailEnd/>
                    </a:ln>
                  </pic:spPr>
                </pic:pic>
              </a:graphicData>
            </a:graphic>
          </wp:anchor>
        </w:drawing>
      </w:r>
    </w:p>
    <w:p w:rsidR="00AE16B6" w:rsidRPr="00AE16B6" w:rsidRDefault="00AE16B6" w:rsidP="00AE16B6">
      <w:pPr>
        <w:spacing w:line="280" w:lineRule="atLeast"/>
        <w:ind w:left="-284"/>
        <w:jc w:val="both"/>
        <w:rPr>
          <w:rFonts w:eastAsia="MS Mincho"/>
          <w:snapToGrid w:val="0"/>
          <w:sz w:val="16"/>
          <w:szCs w:val="16"/>
        </w:rPr>
      </w:pPr>
      <w:r w:rsidRPr="00AE16B6">
        <w:rPr>
          <w:rFonts w:eastAsia="MS Mincho"/>
          <w:snapToGrid w:val="0"/>
          <w:sz w:val="16"/>
          <w:szCs w:val="16"/>
        </w:rPr>
        <w:t xml:space="preserve"> </w:t>
      </w:r>
    </w:p>
    <w:p w:rsidR="00AE16B6" w:rsidRPr="00AE16B6" w:rsidRDefault="00AE16B6" w:rsidP="00640625">
      <w:pPr>
        <w:spacing w:line="280" w:lineRule="atLeast"/>
        <w:jc w:val="both"/>
        <w:rPr>
          <w:rFonts w:eastAsia="MS Mincho"/>
          <w:snapToGrid w:val="0"/>
          <w:sz w:val="20"/>
          <w:szCs w:val="20"/>
        </w:rPr>
      </w:pPr>
      <w:r w:rsidRPr="00AE16B6">
        <w:rPr>
          <w:rFonts w:eastAsia="MS Mincho"/>
          <w:b/>
          <w:bCs/>
          <w:snapToGrid w:val="0"/>
          <w:color w:val="006A82"/>
          <w:sz w:val="20"/>
          <w:szCs w:val="20"/>
        </w:rPr>
        <w:t xml:space="preserve">Follow us on Twitter: </w:t>
      </w:r>
      <w:hyperlink r:id="rId17" w:history="1">
        <w:r w:rsidRPr="00AE16B6">
          <w:rPr>
            <w:rFonts w:eastAsia="MS Mincho"/>
            <w:b/>
            <w:bCs/>
            <w:snapToGrid w:val="0"/>
            <w:color w:val="006A82"/>
            <w:sz w:val="20"/>
            <w:szCs w:val="20"/>
            <w:u w:val="single"/>
          </w:rPr>
          <w:t>twitter.com/</w:t>
        </w:r>
        <w:proofErr w:type="spellStart"/>
        <w:r w:rsidRPr="00AE16B6">
          <w:rPr>
            <w:rFonts w:eastAsia="MS Mincho"/>
            <w:b/>
            <w:bCs/>
            <w:snapToGrid w:val="0"/>
            <w:color w:val="006A82"/>
            <w:sz w:val="20"/>
            <w:szCs w:val="20"/>
            <w:u w:val="single"/>
          </w:rPr>
          <w:t>Amundi_</w:t>
        </w:r>
      </w:hyperlink>
      <w:r w:rsidRPr="00AE16B6">
        <w:rPr>
          <w:rFonts w:eastAsia="MS Mincho"/>
          <w:b/>
          <w:bCs/>
          <w:snapToGrid w:val="0"/>
          <w:color w:val="006A82"/>
          <w:sz w:val="20"/>
          <w:szCs w:val="20"/>
          <w:u w:val="single"/>
        </w:rPr>
        <w:t>ENG</w:t>
      </w:r>
      <w:proofErr w:type="spellEnd"/>
      <w:r w:rsidRPr="00AE16B6">
        <w:rPr>
          <w:rFonts w:eastAsia="MS Mincho"/>
          <w:b/>
          <w:bCs/>
          <w:snapToGrid w:val="0"/>
          <w:color w:val="006A82"/>
          <w:sz w:val="20"/>
          <w:szCs w:val="20"/>
          <w:u w:val="single"/>
        </w:rPr>
        <w:t xml:space="preserve">  </w:t>
      </w:r>
      <w:r w:rsidRPr="00AE16B6">
        <w:rPr>
          <w:rFonts w:eastAsia="MS Mincho"/>
          <w:snapToGrid w:val="0"/>
          <w:sz w:val="20"/>
          <w:szCs w:val="20"/>
        </w:rPr>
        <w:t xml:space="preserve"> </w:t>
      </w:r>
    </w:p>
    <w:p w:rsidR="00AE16B6" w:rsidRPr="00AE16B6" w:rsidRDefault="00AE16B6" w:rsidP="00640625">
      <w:pPr>
        <w:spacing w:line="280" w:lineRule="atLeast"/>
        <w:jc w:val="both"/>
        <w:rPr>
          <w:rFonts w:eastAsia="MS Mincho"/>
          <w:snapToGrid w:val="0"/>
          <w:sz w:val="16"/>
          <w:szCs w:val="16"/>
        </w:rPr>
      </w:pPr>
    </w:p>
    <w:p w:rsidR="00AE16B6" w:rsidRPr="00AE16B6" w:rsidRDefault="00AE16B6" w:rsidP="00AE16B6">
      <w:pPr>
        <w:spacing w:line="280" w:lineRule="atLeast"/>
        <w:jc w:val="both"/>
        <w:rPr>
          <w:rFonts w:eastAsia="MS Mincho"/>
          <w:snapToGrid w:val="0"/>
          <w:sz w:val="20"/>
          <w:szCs w:val="20"/>
        </w:rPr>
      </w:pPr>
      <w:r w:rsidRPr="00AE16B6">
        <w:rPr>
          <w:rFonts w:eastAsia="MS Mincho"/>
          <w:noProof/>
          <w:sz w:val="16"/>
          <w:szCs w:val="16"/>
          <w:lang w:val="fr-FR"/>
        </w:rPr>
        <w:drawing>
          <wp:inline distT="0" distB="0" distL="0" distR="0">
            <wp:extent cx="228600" cy="228600"/>
            <wp:effectExtent l="19050" t="0" r="0" b="0"/>
            <wp:docPr id="1" name="Image 4" descr="Description: icono_facebo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icono_facebook-01"/>
                    <pic:cNvPicPr>
                      <a:picLocks noChangeAspect="1" noChangeArrowheads="1"/>
                    </pic:cNvPicPr>
                  </pic:nvPicPr>
                  <pic:blipFill>
                    <a:blip r:embed="rId1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E16B6">
        <w:rPr>
          <w:rFonts w:eastAsia="MS Mincho"/>
          <w:b/>
          <w:bCs/>
          <w:snapToGrid w:val="0"/>
          <w:color w:val="006A82"/>
          <w:sz w:val="16"/>
          <w:szCs w:val="16"/>
        </w:rPr>
        <w:t xml:space="preserve">   </w:t>
      </w:r>
      <w:r w:rsidRPr="00AE16B6">
        <w:rPr>
          <w:rFonts w:eastAsia="MS Mincho"/>
          <w:b/>
          <w:bCs/>
          <w:snapToGrid w:val="0"/>
          <w:color w:val="006A82"/>
          <w:sz w:val="20"/>
          <w:szCs w:val="20"/>
        </w:rPr>
        <w:t xml:space="preserve">Join us on </w:t>
      </w:r>
      <w:proofErr w:type="spellStart"/>
      <w:r w:rsidRPr="00AE16B6">
        <w:rPr>
          <w:rFonts w:eastAsia="MS Mincho"/>
          <w:b/>
          <w:bCs/>
          <w:snapToGrid w:val="0"/>
          <w:color w:val="006A82"/>
          <w:sz w:val="20"/>
          <w:szCs w:val="20"/>
        </w:rPr>
        <w:t>Facebook</w:t>
      </w:r>
      <w:proofErr w:type="spellEnd"/>
      <w:r w:rsidRPr="00AE16B6">
        <w:rPr>
          <w:rFonts w:eastAsia="MS Mincho"/>
          <w:b/>
          <w:bCs/>
          <w:snapToGrid w:val="0"/>
          <w:color w:val="006A82"/>
          <w:sz w:val="20"/>
          <w:szCs w:val="20"/>
        </w:rPr>
        <w:t xml:space="preserve">: </w:t>
      </w:r>
      <w:hyperlink r:id="rId19" w:history="1">
        <w:r w:rsidRPr="00AE16B6">
          <w:rPr>
            <w:rFonts w:eastAsia="MS Mincho"/>
            <w:b/>
            <w:bCs/>
            <w:snapToGrid w:val="0"/>
            <w:color w:val="006A82"/>
            <w:sz w:val="20"/>
            <w:szCs w:val="20"/>
            <w:u w:val="single"/>
          </w:rPr>
          <w:t>http://www.facebook.com/AmundiOfficial</w:t>
        </w:r>
      </w:hyperlink>
    </w:p>
    <w:p w:rsidR="00AE16B6" w:rsidRPr="00AE16B6" w:rsidRDefault="00AE16B6" w:rsidP="00AE16B6">
      <w:pPr>
        <w:spacing w:line="280" w:lineRule="atLeast"/>
        <w:jc w:val="both"/>
        <w:rPr>
          <w:sz w:val="16"/>
          <w:szCs w:val="16"/>
        </w:rPr>
      </w:pPr>
    </w:p>
    <w:p w:rsidR="00AE16B6" w:rsidRPr="00AE16B6" w:rsidRDefault="00AE16B6" w:rsidP="00AE16B6">
      <w:pPr>
        <w:spacing w:line="280" w:lineRule="atLeast"/>
        <w:ind w:right="-334"/>
        <w:jc w:val="both"/>
        <w:rPr>
          <w:rFonts w:eastAsia="MS Mincho"/>
          <w:b/>
          <w:bCs/>
          <w:snapToGrid w:val="0"/>
          <w:color w:val="006A82"/>
          <w:sz w:val="20"/>
          <w:szCs w:val="20"/>
        </w:rPr>
      </w:pPr>
      <w:r w:rsidRPr="00AE16B6">
        <w:rPr>
          <w:noProof/>
          <w:color w:val="000000"/>
          <w:sz w:val="16"/>
          <w:szCs w:val="16"/>
          <w:lang w:val="fr-FR"/>
        </w:rPr>
        <w:drawing>
          <wp:inline distT="0" distB="0" distL="0" distR="0">
            <wp:extent cx="228600" cy="2286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E16B6">
        <w:rPr>
          <w:rFonts w:eastAsia="MS Mincho"/>
          <w:b/>
          <w:bCs/>
          <w:snapToGrid w:val="0"/>
          <w:color w:val="006A82"/>
          <w:sz w:val="20"/>
          <w:szCs w:val="20"/>
        </w:rPr>
        <w:t xml:space="preserve">  Join us on LinkedIn: </w:t>
      </w:r>
      <w:hyperlink r:id="rId21" w:history="1">
        <w:r w:rsidRPr="00AE16B6">
          <w:rPr>
            <w:rStyle w:val="Lienhypertexte"/>
            <w:rFonts w:eastAsia="MS Mincho"/>
            <w:b/>
            <w:bCs/>
            <w:snapToGrid w:val="0"/>
            <w:color w:val="006A82"/>
            <w:sz w:val="20"/>
            <w:szCs w:val="20"/>
          </w:rPr>
          <w:t>https://www.linkedin.com/company/amundi-</w:t>
        </w:r>
      </w:hyperlink>
    </w:p>
    <w:p w:rsidR="00AE16B6" w:rsidRPr="00AE16B6" w:rsidRDefault="00AE16B6" w:rsidP="00AE16B6">
      <w:pPr>
        <w:spacing w:line="280" w:lineRule="atLeast"/>
        <w:rPr>
          <w:rFonts w:eastAsia="MS Mincho"/>
          <w:snapToGrid w:val="0"/>
          <w:color w:val="002060"/>
        </w:rPr>
      </w:pPr>
    </w:p>
    <w:p w:rsidR="003E6D8F" w:rsidRPr="00E123AC" w:rsidRDefault="003E6D8F" w:rsidP="003E6D8F">
      <w:pPr>
        <w:rPr>
          <w:b/>
          <w:bCs/>
          <w:sz w:val="28"/>
          <w:szCs w:val="28"/>
        </w:rPr>
      </w:pPr>
      <w:proofErr w:type="spellStart"/>
      <w:r w:rsidRPr="00E123AC">
        <w:rPr>
          <w:b/>
          <w:bCs/>
          <w:sz w:val="28"/>
          <w:szCs w:val="28"/>
        </w:rPr>
        <w:lastRenderedPageBreak/>
        <w:t>Amundi</w:t>
      </w:r>
      <w:proofErr w:type="spellEnd"/>
      <w:r w:rsidRPr="00E123AC">
        <w:rPr>
          <w:b/>
          <w:bCs/>
          <w:sz w:val="28"/>
          <w:szCs w:val="28"/>
        </w:rPr>
        <w:t xml:space="preserve"> – ETF &amp; Indexing</w:t>
      </w:r>
    </w:p>
    <w:p w:rsidR="00FF382C" w:rsidRPr="00E123AC" w:rsidRDefault="00FF382C" w:rsidP="00FF382C">
      <w:pPr>
        <w:spacing w:line="280" w:lineRule="atLeast"/>
        <w:jc w:val="both"/>
        <w:rPr>
          <w:sz w:val="22"/>
          <w:szCs w:val="22"/>
        </w:rPr>
      </w:pPr>
    </w:p>
    <w:p w:rsidR="00FD243D" w:rsidRDefault="00FD243D" w:rsidP="00FD243D">
      <w:pPr>
        <w:spacing w:line="280" w:lineRule="atLeast"/>
        <w:jc w:val="both"/>
        <w:rPr>
          <w:sz w:val="22"/>
          <w:szCs w:val="22"/>
        </w:rPr>
      </w:pPr>
      <w:r w:rsidRPr="00FD243D">
        <w:rPr>
          <w:sz w:val="22"/>
          <w:szCs w:val="22"/>
        </w:rPr>
        <w:t xml:space="preserve">With a long-standing experience combined with a strong pricing power, we offer first-class replication on more than 100 indices to internationally renowned institutions. </w:t>
      </w:r>
    </w:p>
    <w:p w:rsidR="00FD243D" w:rsidRPr="00FD243D" w:rsidRDefault="00FD243D" w:rsidP="00FD243D">
      <w:pPr>
        <w:spacing w:line="280" w:lineRule="atLeast"/>
        <w:jc w:val="both"/>
        <w:rPr>
          <w:sz w:val="22"/>
          <w:szCs w:val="22"/>
        </w:rPr>
      </w:pPr>
    </w:p>
    <w:p w:rsidR="00FD243D" w:rsidRDefault="00FD243D" w:rsidP="00FD243D">
      <w:pPr>
        <w:spacing w:line="280" w:lineRule="atLeast"/>
        <w:jc w:val="both"/>
        <w:rPr>
          <w:sz w:val="22"/>
          <w:szCs w:val="22"/>
        </w:rPr>
      </w:pPr>
      <w:r w:rsidRPr="00FD243D">
        <w:rPr>
          <w:sz w:val="22"/>
          <w:szCs w:val="22"/>
        </w:rPr>
        <w:t xml:space="preserve">The Indexing expertise is built on the search for value-added sources within strict risk framework, and offers a wide range of open-ended funds as well as customised mandates, including SRI and smart beta approaches. </w:t>
      </w:r>
    </w:p>
    <w:p w:rsidR="00FD243D" w:rsidRPr="00FD243D" w:rsidRDefault="00FD243D" w:rsidP="00FD243D">
      <w:pPr>
        <w:spacing w:line="280" w:lineRule="atLeast"/>
        <w:jc w:val="both"/>
        <w:rPr>
          <w:sz w:val="22"/>
          <w:szCs w:val="22"/>
        </w:rPr>
      </w:pPr>
    </w:p>
    <w:p w:rsidR="00FD243D" w:rsidRDefault="00FD243D" w:rsidP="00FD243D">
      <w:pPr>
        <w:spacing w:line="280" w:lineRule="atLeast"/>
        <w:jc w:val="both"/>
        <w:rPr>
          <w:sz w:val="22"/>
          <w:szCs w:val="22"/>
        </w:rPr>
      </w:pPr>
      <w:proofErr w:type="spellStart"/>
      <w:r w:rsidRPr="00FD243D">
        <w:rPr>
          <w:sz w:val="22"/>
          <w:szCs w:val="22"/>
        </w:rPr>
        <w:t>Amundi</w:t>
      </w:r>
      <w:proofErr w:type="spellEnd"/>
      <w:r w:rsidRPr="00FD243D">
        <w:rPr>
          <w:sz w:val="22"/>
          <w:szCs w:val="22"/>
        </w:rPr>
        <w:t xml:space="preserve"> is also a major player in the ETF segment, thanks to its strategy of competitive prices, innovation and high-quality tracking. </w:t>
      </w:r>
    </w:p>
    <w:p w:rsidR="00FD243D" w:rsidRPr="00FD243D" w:rsidRDefault="00FD243D" w:rsidP="00FD243D">
      <w:pPr>
        <w:spacing w:line="280" w:lineRule="atLeast"/>
        <w:jc w:val="both"/>
        <w:rPr>
          <w:sz w:val="22"/>
          <w:szCs w:val="22"/>
        </w:rPr>
      </w:pPr>
    </w:p>
    <w:p w:rsidR="003E6D8F" w:rsidRPr="00E123AC" w:rsidRDefault="00FD243D" w:rsidP="00FD243D">
      <w:pPr>
        <w:spacing w:line="280" w:lineRule="atLeast"/>
        <w:jc w:val="both"/>
        <w:rPr>
          <w:sz w:val="22"/>
          <w:szCs w:val="22"/>
        </w:rPr>
      </w:pPr>
      <w:r w:rsidRPr="00FD243D">
        <w:rPr>
          <w:sz w:val="22"/>
          <w:szCs w:val="22"/>
        </w:rPr>
        <w:t xml:space="preserve">Our experienced team of dedicated index fund managers, based in Europe and in Japan, benefits from </w:t>
      </w:r>
      <w:proofErr w:type="spellStart"/>
      <w:r w:rsidRPr="00FD243D">
        <w:rPr>
          <w:sz w:val="22"/>
          <w:szCs w:val="22"/>
        </w:rPr>
        <w:t>Amundi</w:t>
      </w:r>
      <w:proofErr w:type="spellEnd"/>
      <w:r w:rsidRPr="00FD243D">
        <w:rPr>
          <w:sz w:val="22"/>
          <w:szCs w:val="22"/>
        </w:rPr>
        <w:t xml:space="preserve"> dealing capabilities and research teams’ excellence.</w:t>
      </w:r>
    </w:p>
    <w:sectPr w:rsidR="003E6D8F" w:rsidRPr="00E123AC" w:rsidSect="0009747F">
      <w:pgSz w:w="11906" w:h="16838"/>
      <w:pgMar w:top="1418" w:right="1418" w:bottom="1418"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5C2" w:rsidRDefault="00D435C2">
      <w:r>
        <w:separator/>
      </w:r>
    </w:p>
  </w:endnote>
  <w:endnote w:type="continuationSeparator" w:id="0">
    <w:p w:rsidR="00D435C2" w:rsidRDefault="00D43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T">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5C2" w:rsidRDefault="00D435C2">
      <w:r>
        <w:separator/>
      </w:r>
    </w:p>
  </w:footnote>
  <w:footnote w:type="continuationSeparator" w:id="0">
    <w:p w:rsidR="00D435C2" w:rsidRDefault="00D43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86A0A8"/>
    <w:lvl w:ilvl="0">
      <w:numFmt w:val="bullet"/>
      <w:lvlText w:val="*"/>
      <w:lvlJc w:val="left"/>
    </w:lvl>
  </w:abstractNum>
  <w:abstractNum w:abstractNumId="1">
    <w:nsid w:val="0133398C"/>
    <w:multiLevelType w:val="hybridMultilevel"/>
    <w:tmpl w:val="183E6D18"/>
    <w:lvl w:ilvl="0" w:tplc="710447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1385F"/>
    <w:multiLevelType w:val="hybridMultilevel"/>
    <w:tmpl w:val="DF9E5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0384093"/>
    <w:multiLevelType w:val="hybridMultilevel"/>
    <w:tmpl w:val="F1FE62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BF872F2"/>
    <w:multiLevelType w:val="hybridMultilevel"/>
    <w:tmpl w:val="27C28578"/>
    <w:lvl w:ilvl="0" w:tplc="4AAACB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330411"/>
    <w:multiLevelType w:val="hybridMultilevel"/>
    <w:tmpl w:val="419C743A"/>
    <w:lvl w:ilvl="0" w:tplc="4CC220BC">
      <w:start w:val="1"/>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DEB7C3A"/>
    <w:multiLevelType w:val="hybridMultilevel"/>
    <w:tmpl w:val="A1FCAD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DE1A1C"/>
    <w:multiLevelType w:val="hybridMultilevel"/>
    <w:tmpl w:val="C5ECA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9"/>
  </w:num>
  <w:num w:numId="5">
    <w:abstractNumId w:val="16"/>
  </w:num>
  <w:num w:numId="6">
    <w:abstractNumId w:val="11"/>
  </w:num>
  <w:num w:numId="7">
    <w:abstractNumId w:val="17"/>
  </w:num>
  <w:num w:numId="8">
    <w:abstractNumId w:val="12"/>
  </w:num>
  <w:num w:numId="9">
    <w:abstractNumId w:val="10"/>
  </w:num>
  <w:num w:numId="10">
    <w:abstractNumId w:val="6"/>
  </w:num>
  <w:num w:numId="11">
    <w:abstractNumId w:val="1"/>
  </w:num>
  <w:num w:numId="12">
    <w:abstractNumId w:val="15"/>
  </w:num>
  <w:num w:numId="13">
    <w:abstractNumId w:val="0"/>
    <w:lvlOverride w:ilvl="0">
      <w:lvl w:ilvl="0">
        <w:numFmt w:val="bullet"/>
        <w:lvlText w:val=""/>
        <w:legacy w:legacy="1" w:legacySpace="0" w:legacyIndent="0"/>
        <w:lvlJc w:val="left"/>
        <w:rPr>
          <w:rFonts w:ascii="Wingdings" w:hAnsi="Wingdings" w:hint="default"/>
        </w:rPr>
      </w:lvl>
    </w:lvlOverride>
  </w:num>
  <w:num w:numId="14">
    <w:abstractNumId w:val="14"/>
  </w:num>
  <w:num w:numId="15">
    <w:abstractNumId w:val="4"/>
  </w:num>
  <w:num w:numId="16">
    <w:abstractNumId w:val="8"/>
  </w:num>
  <w:num w:numId="17">
    <w:abstractNumId w:val="2"/>
  </w:num>
  <w:num w:numId="18">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66561"/>
  </w:hdrShapeDefaults>
  <w:footnotePr>
    <w:footnote w:id="-1"/>
    <w:footnote w:id="0"/>
  </w:footnotePr>
  <w:endnotePr>
    <w:endnote w:id="-1"/>
    <w:endnote w:id="0"/>
  </w:endnotePr>
  <w:compat/>
  <w:rsids>
    <w:rsidRoot w:val="003E02F0"/>
    <w:rsid w:val="00006D79"/>
    <w:rsid w:val="00023DEF"/>
    <w:rsid w:val="000300CC"/>
    <w:rsid w:val="00031786"/>
    <w:rsid w:val="0003189A"/>
    <w:rsid w:val="00034366"/>
    <w:rsid w:val="00034CB4"/>
    <w:rsid w:val="00037390"/>
    <w:rsid w:val="000539AD"/>
    <w:rsid w:val="00075A5B"/>
    <w:rsid w:val="00075C4A"/>
    <w:rsid w:val="000867E0"/>
    <w:rsid w:val="00087BE7"/>
    <w:rsid w:val="00093283"/>
    <w:rsid w:val="00095310"/>
    <w:rsid w:val="0009747F"/>
    <w:rsid w:val="000B174B"/>
    <w:rsid w:val="000C390B"/>
    <w:rsid w:val="000C46F8"/>
    <w:rsid w:val="000C4995"/>
    <w:rsid w:val="000D3AAA"/>
    <w:rsid w:val="000D5E26"/>
    <w:rsid w:val="000E706B"/>
    <w:rsid w:val="000F1556"/>
    <w:rsid w:val="00101690"/>
    <w:rsid w:val="0010231C"/>
    <w:rsid w:val="00102B4A"/>
    <w:rsid w:val="00104363"/>
    <w:rsid w:val="00107463"/>
    <w:rsid w:val="00107976"/>
    <w:rsid w:val="00113480"/>
    <w:rsid w:val="00115871"/>
    <w:rsid w:val="00117F29"/>
    <w:rsid w:val="00125A7A"/>
    <w:rsid w:val="00133D59"/>
    <w:rsid w:val="001357C2"/>
    <w:rsid w:val="001372DA"/>
    <w:rsid w:val="001532CC"/>
    <w:rsid w:val="001564BA"/>
    <w:rsid w:val="001609A7"/>
    <w:rsid w:val="001661F2"/>
    <w:rsid w:val="001704C4"/>
    <w:rsid w:val="00170F43"/>
    <w:rsid w:val="00171129"/>
    <w:rsid w:val="0017374C"/>
    <w:rsid w:val="00173892"/>
    <w:rsid w:val="00173C06"/>
    <w:rsid w:val="00173E46"/>
    <w:rsid w:val="00176773"/>
    <w:rsid w:val="00183853"/>
    <w:rsid w:val="001866B0"/>
    <w:rsid w:val="001914D8"/>
    <w:rsid w:val="001A1240"/>
    <w:rsid w:val="001A723F"/>
    <w:rsid w:val="001A78FE"/>
    <w:rsid w:val="001D4033"/>
    <w:rsid w:val="001D6D13"/>
    <w:rsid w:val="001D7D8B"/>
    <w:rsid w:val="001E1712"/>
    <w:rsid w:val="001E4A05"/>
    <w:rsid w:val="001F04CF"/>
    <w:rsid w:val="00205AF3"/>
    <w:rsid w:val="00206FCA"/>
    <w:rsid w:val="00211CD6"/>
    <w:rsid w:val="002127BD"/>
    <w:rsid w:val="002155E7"/>
    <w:rsid w:val="00223172"/>
    <w:rsid w:val="00233EEB"/>
    <w:rsid w:val="002347F6"/>
    <w:rsid w:val="00245A5C"/>
    <w:rsid w:val="00245F77"/>
    <w:rsid w:val="002517E8"/>
    <w:rsid w:val="00262300"/>
    <w:rsid w:val="00263CEA"/>
    <w:rsid w:val="00264B4E"/>
    <w:rsid w:val="002727EB"/>
    <w:rsid w:val="00275FBA"/>
    <w:rsid w:val="00281809"/>
    <w:rsid w:val="0028334C"/>
    <w:rsid w:val="00294183"/>
    <w:rsid w:val="002A0140"/>
    <w:rsid w:val="002A7D19"/>
    <w:rsid w:val="002B3535"/>
    <w:rsid w:val="002E1030"/>
    <w:rsid w:val="002E4F78"/>
    <w:rsid w:val="002E6F08"/>
    <w:rsid w:val="002F211C"/>
    <w:rsid w:val="002F45C6"/>
    <w:rsid w:val="002F4C43"/>
    <w:rsid w:val="002F6948"/>
    <w:rsid w:val="002F77B4"/>
    <w:rsid w:val="00306237"/>
    <w:rsid w:val="003125F6"/>
    <w:rsid w:val="003163B7"/>
    <w:rsid w:val="00321867"/>
    <w:rsid w:val="00321D53"/>
    <w:rsid w:val="0032664E"/>
    <w:rsid w:val="003269F9"/>
    <w:rsid w:val="00327CBC"/>
    <w:rsid w:val="00334AD5"/>
    <w:rsid w:val="0034557B"/>
    <w:rsid w:val="003475FA"/>
    <w:rsid w:val="00351AD6"/>
    <w:rsid w:val="003622AD"/>
    <w:rsid w:val="00370573"/>
    <w:rsid w:val="00384921"/>
    <w:rsid w:val="00386F35"/>
    <w:rsid w:val="00393726"/>
    <w:rsid w:val="003939FB"/>
    <w:rsid w:val="003B0827"/>
    <w:rsid w:val="003B13CC"/>
    <w:rsid w:val="003C6EA1"/>
    <w:rsid w:val="003D4812"/>
    <w:rsid w:val="003E02F0"/>
    <w:rsid w:val="003E1F59"/>
    <w:rsid w:val="003E584A"/>
    <w:rsid w:val="003E6D8F"/>
    <w:rsid w:val="003E7E9C"/>
    <w:rsid w:val="004040F1"/>
    <w:rsid w:val="00414925"/>
    <w:rsid w:val="00420874"/>
    <w:rsid w:val="00430591"/>
    <w:rsid w:val="00433382"/>
    <w:rsid w:val="004343B9"/>
    <w:rsid w:val="00452969"/>
    <w:rsid w:val="004540A3"/>
    <w:rsid w:val="00465627"/>
    <w:rsid w:val="004764DC"/>
    <w:rsid w:val="00484DB0"/>
    <w:rsid w:val="00486C35"/>
    <w:rsid w:val="00492063"/>
    <w:rsid w:val="00495ED0"/>
    <w:rsid w:val="004A294E"/>
    <w:rsid w:val="004C3DC2"/>
    <w:rsid w:val="004D0478"/>
    <w:rsid w:val="004D0FBE"/>
    <w:rsid w:val="004D1CD4"/>
    <w:rsid w:val="004E047D"/>
    <w:rsid w:val="004F7E21"/>
    <w:rsid w:val="00505219"/>
    <w:rsid w:val="005072DD"/>
    <w:rsid w:val="00516969"/>
    <w:rsid w:val="00517422"/>
    <w:rsid w:val="00517898"/>
    <w:rsid w:val="00521A13"/>
    <w:rsid w:val="0053034E"/>
    <w:rsid w:val="00536934"/>
    <w:rsid w:val="00537D6D"/>
    <w:rsid w:val="0054123D"/>
    <w:rsid w:val="00542CFE"/>
    <w:rsid w:val="0054393D"/>
    <w:rsid w:val="00543A29"/>
    <w:rsid w:val="00552AE1"/>
    <w:rsid w:val="0056203E"/>
    <w:rsid w:val="00572CF5"/>
    <w:rsid w:val="00573305"/>
    <w:rsid w:val="00575302"/>
    <w:rsid w:val="00582F6D"/>
    <w:rsid w:val="00594602"/>
    <w:rsid w:val="0059691A"/>
    <w:rsid w:val="005A4457"/>
    <w:rsid w:val="005A5781"/>
    <w:rsid w:val="005A6E35"/>
    <w:rsid w:val="005A74A5"/>
    <w:rsid w:val="005B413D"/>
    <w:rsid w:val="005B704C"/>
    <w:rsid w:val="005C0C35"/>
    <w:rsid w:val="005C7031"/>
    <w:rsid w:val="005C7F17"/>
    <w:rsid w:val="005D3B19"/>
    <w:rsid w:val="005E711B"/>
    <w:rsid w:val="005F0F9E"/>
    <w:rsid w:val="005F3172"/>
    <w:rsid w:val="006077E4"/>
    <w:rsid w:val="0061357A"/>
    <w:rsid w:val="00621B6D"/>
    <w:rsid w:val="006270C0"/>
    <w:rsid w:val="00632401"/>
    <w:rsid w:val="00640625"/>
    <w:rsid w:val="006428D6"/>
    <w:rsid w:val="006705C8"/>
    <w:rsid w:val="00670B8C"/>
    <w:rsid w:val="00675892"/>
    <w:rsid w:val="00676578"/>
    <w:rsid w:val="00681F03"/>
    <w:rsid w:val="00681F12"/>
    <w:rsid w:val="006852C0"/>
    <w:rsid w:val="00696CD9"/>
    <w:rsid w:val="006A387E"/>
    <w:rsid w:val="006A5D54"/>
    <w:rsid w:val="006A6A6B"/>
    <w:rsid w:val="006B11FA"/>
    <w:rsid w:val="006C1110"/>
    <w:rsid w:val="006C6845"/>
    <w:rsid w:val="006C7D9F"/>
    <w:rsid w:val="006D1320"/>
    <w:rsid w:val="006D3D05"/>
    <w:rsid w:val="006D6CB4"/>
    <w:rsid w:val="006E131C"/>
    <w:rsid w:val="006E40A9"/>
    <w:rsid w:val="006F5DD4"/>
    <w:rsid w:val="0070004B"/>
    <w:rsid w:val="00716D84"/>
    <w:rsid w:val="007302BA"/>
    <w:rsid w:val="0073265D"/>
    <w:rsid w:val="007501BB"/>
    <w:rsid w:val="007512FA"/>
    <w:rsid w:val="00760C82"/>
    <w:rsid w:val="007638CE"/>
    <w:rsid w:val="007709A4"/>
    <w:rsid w:val="00772E45"/>
    <w:rsid w:val="00783A46"/>
    <w:rsid w:val="007938F0"/>
    <w:rsid w:val="007A0008"/>
    <w:rsid w:val="007A2082"/>
    <w:rsid w:val="007B007C"/>
    <w:rsid w:val="007B0994"/>
    <w:rsid w:val="007B5711"/>
    <w:rsid w:val="007C19A1"/>
    <w:rsid w:val="007C1F0D"/>
    <w:rsid w:val="007C59EC"/>
    <w:rsid w:val="007C7A01"/>
    <w:rsid w:val="007D13A1"/>
    <w:rsid w:val="007E2ACB"/>
    <w:rsid w:val="008255A7"/>
    <w:rsid w:val="00826606"/>
    <w:rsid w:val="00831A5A"/>
    <w:rsid w:val="00834927"/>
    <w:rsid w:val="00834D81"/>
    <w:rsid w:val="00835311"/>
    <w:rsid w:val="00836163"/>
    <w:rsid w:val="0085531E"/>
    <w:rsid w:val="00856281"/>
    <w:rsid w:val="008612CE"/>
    <w:rsid w:val="00871C68"/>
    <w:rsid w:val="008804E2"/>
    <w:rsid w:val="00882E69"/>
    <w:rsid w:val="008908CF"/>
    <w:rsid w:val="0089438A"/>
    <w:rsid w:val="0089775C"/>
    <w:rsid w:val="008A3FAC"/>
    <w:rsid w:val="008B1FB5"/>
    <w:rsid w:val="008B6632"/>
    <w:rsid w:val="008C6E78"/>
    <w:rsid w:val="008D02EE"/>
    <w:rsid w:val="008E1589"/>
    <w:rsid w:val="008E272F"/>
    <w:rsid w:val="008E3A36"/>
    <w:rsid w:val="008F2F14"/>
    <w:rsid w:val="008F4CDA"/>
    <w:rsid w:val="008F6181"/>
    <w:rsid w:val="0090347D"/>
    <w:rsid w:val="00906049"/>
    <w:rsid w:val="009066A0"/>
    <w:rsid w:val="00912423"/>
    <w:rsid w:val="009237C7"/>
    <w:rsid w:val="009345B2"/>
    <w:rsid w:val="009437DF"/>
    <w:rsid w:val="009453A3"/>
    <w:rsid w:val="0095356E"/>
    <w:rsid w:val="00961019"/>
    <w:rsid w:val="00963D3D"/>
    <w:rsid w:val="009715FD"/>
    <w:rsid w:val="0099381B"/>
    <w:rsid w:val="009A1EA4"/>
    <w:rsid w:val="009A1F44"/>
    <w:rsid w:val="009A4952"/>
    <w:rsid w:val="009C01F2"/>
    <w:rsid w:val="009C1DE9"/>
    <w:rsid w:val="009D1631"/>
    <w:rsid w:val="009D1AEE"/>
    <w:rsid w:val="009D40E3"/>
    <w:rsid w:val="009D518E"/>
    <w:rsid w:val="009E48AD"/>
    <w:rsid w:val="009F143F"/>
    <w:rsid w:val="00A0163C"/>
    <w:rsid w:val="00A01DB7"/>
    <w:rsid w:val="00A0394D"/>
    <w:rsid w:val="00A07324"/>
    <w:rsid w:val="00A1019B"/>
    <w:rsid w:val="00A36B4F"/>
    <w:rsid w:val="00A45AF6"/>
    <w:rsid w:val="00A502F8"/>
    <w:rsid w:val="00A50F2B"/>
    <w:rsid w:val="00A52AE0"/>
    <w:rsid w:val="00A5393D"/>
    <w:rsid w:val="00A53CB0"/>
    <w:rsid w:val="00A549CD"/>
    <w:rsid w:val="00A55FEC"/>
    <w:rsid w:val="00A6437E"/>
    <w:rsid w:val="00A70A42"/>
    <w:rsid w:val="00A71244"/>
    <w:rsid w:val="00A72DD9"/>
    <w:rsid w:val="00A73DA4"/>
    <w:rsid w:val="00A76864"/>
    <w:rsid w:val="00A96A47"/>
    <w:rsid w:val="00AA0C4F"/>
    <w:rsid w:val="00AC14C8"/>
    <w:rsid w:val="00AC210E"/>
    <w:rsid w:val="00AC5322"/>
    <w:rsid w:val="00AC6677"/>
    <w:rsid w:val="00AD6AA8"/>
    <w:rsid w:val="00AE16B6"/>
    <w:rsid w:val="00AE5609"/>
    <w:rsid w:val="00AF2237"/>
    <w:rsid w:val="00AF2BBF"/>
    <w:rsid w:val="00AF5D60"/>
    <w:rsid w:val="00B0249E"/>
    <w:rsid w:val="00B05EF4"/>
    <w:rsid w:val="00B06754"/>
    <w:rsid w:val="00B10275"/>
    <w:rsid w:val="00B133C2"/>
    <w:rsid w:val="00B1465B"/>
    <w:rsid w:val="00B16C03"/>
    <w:rsid w:val="00B21ED3"/>
    <w:rsid w:val="00B2357F"/>
    <w:rsid w:val="00B27288"/>
    <w:rsid w:val="00B34A64"/>
    <w:rsid w:val="00B42C14"/>
    <w:rsid w:val="00B470E3"/>
    <w:rsid w:val="00B55B12"/>
    <w:rsid w:val="00B62337"/>
    <w:rsid w:val="00B754D4"/>
    <w:rsid w:val="00B755AD"/>
    <w:rsid w:val="00B777B5"/>
    <w:rsid w:val="00B826D1"/>
    <w:rsid w:val="00B82BA6"/>
    <w:rsid w:val="00B83010"/>
    <w:rsid w:val="00B83B53"/>
    <w:rsid w:val="00B83E49"/>
    <w:rsid w:val="00B96BD2"/>
    <w:rsid w:val="00B96D53"/>
    <w:rsid w:val="00BA5EA8"/>
    <w:rsid w:val="00BA7E35"/>
    <w:rsid w:val="00BB2248"/>
    <w:rsid w:val="00BB3D1D"/>
    <w:rsid w:val="00BB45D6"/>
    <w:rsid w:val="00BB5D74"/>
    <w:rsid w:val="00BC2CF3"/>
    <w:rsid w:val="00BC3B49"/>
    <w:rsid w:val="00BC5228"/>
    <w:rsid w:val="00BC5F44"/>
    <w:rsid w:val="00BD165B"/>
    <w:rsid w:val="00BD1D1F"/>
    <w:rsid w:val="00BD5CF7"/>
    <w:rsid w:val="00BD6D55"/>
    <w:rsid w:val="00BD7110"/>
    <w:rsid w:val="00BE2BF9"/>
    <w:rsid w:val="00BF0490"/>
    <w:rsid w:val="00C03DC6"/>
    <w:rsid w:val="00C05173"/>
    <w:rsid w:val="00C1408A"/>
    <w:rsid w:val="00C144BF"/>
    <w:rsid w:val="00C203DD"/>
    <w:rsid w:val="00C22824"/>
    <w:rsid w:val="00C24EB3"/>
    <w:rsid w:val="00C359CC"/>
    <w:rsid w:val="00C409FC"/>
    <w:rsid w:val="00C44CDE"/>
    <w:rsid w:val="00C45A94"/>
    <w:rsid w:val="00C51442"/>
    <w:rsid w:val="00C518EB"/>
    <w:rsid w:val="00C53E55"/>
    <w:rsid w:val="00C551E9"/>
    <w:rsid w:val="00C63DB4"/>
    <w:rsid w:val="00C72653"/>
    <w:rsid w:val="00C7305F"/>
    <w:rsid w:val="00C770C4"/>
    <w:rsid w:val="00C817F6"/>
    <w:rsid w:val="00C822BE"/>
    <w:rsid w:val="00C85734"/>
    <w:rsid w:val="00CA71C7"/>
    <w:rsid w:val="00CB0A1E"/>
    <w:rsid w:val="00CB249B"/>
    <w:rsid w:val="00CB2EA0"/>
    <w:rsid w:val="00CC0FCA"/>
    <w:rsid w:val="00CC1371"/>
    <w:rsid w:val="00CC342C"/>
    <w:rsid w:val="00CC486D"/>
    <w:rsid w:val="00CC5882"/>
    <w:rsid w:val="00CC7899"/>
    <w:rsid w:val="00CD3A89"/>
    <w:rsid w:val="00CD62EA"/>
    <w:rsid w:val="00CE5886"/>
    <w:rsid w:val="00CF19D2"/>
    <w:rsid w:val="00CF3168"/>
    <w:rsid w:val="00D046A6"/>
    <w:rsid w:val="00D0774B"/>
    <w:rsid w:val="00D30976"/>
    <w:rsid w:val="00D42461"/>
    <w:rsid w:val="00D435C2"/>
    <w:rsid w:val="00D47B8D"/>
    <w:rsid w:val="00D53DAF"/>
    <w:rsid w:val="00D556E9"/>
    <w:rsid w:val="00D55EAD"/>
    <w:rsid w:val="00D569B1"/>
    <w:rsid w:val="00D6666B"/>
    <w:rsid w:val="00D71841"/>
    <w:rsid w:val="00D7670D"/>
    <w:rsid w:val="00D90407"/>
    <w:rsid w:val="00D9241B"/>
    <w:rsid w:val="00D94321"/>
    <w:rsid w:val="00D96018"/>
    <w:rsid w:val="00D974BB"/>
    <w:rsid w:val="00D975ED"/>
    <w:rsid w:val="00DA6881"/>
    <w:rsid w:val="00DB0F96"/>
    <w:rsid w:val="00DB1759"/>
    <w:rsid w:val="00DB416C"/>
    <w:rsid w:val="00DC0CCF"/>
    <w:rsid w:val="00DC2FB8"/>
    <w:rsid w:val="00DC566F"/>
    <w:rsid w:val="00DC7244"/>
    <w:rsid w:val="00DD0876"/>
    <w:rsid w:val="00DE1458"/>
    <w:rsid w:val="00DF292E"/>
    <w:rsid w:val="00E1072E"/>
    <w:rsid w:val="00E10B7E"/>
    <w:rsid w:val="00E11F6E"/>
    <w:rsid w:val="00E123AC"/>
    <w:rsid w:val="00E14C28"/>
    <w:rsid w:val="00E232A1"/>
    <w:rsid w:val="00E26C63"/>
    <w:rsid w:val="00E27DC5"/>
    <w:rsid w:val="00E4196C"/>
    <w:rsid w:val="00E561C3"/>
    <w:rsid w:val="00E64DCB"/>
    <w:rsid w:val="00E672EB"/>
    <w:rsid w:val="00E71A13"/>
    <w:rsid w:val="00E85C7B"/>
    <w:rsid w:val="00E90119"/>
    <w:rsid w:val="00E92193"/>
    <w:rsid w:val="00E9390C"/>
    <w:rsid w:val="00E95422"/>
    <w:rsid w:val="00EA454E"/>
    <w:rsid w:val="00EE5EE5"/>
    <w:rsid w:val="00F02EC0"/>
    <w:rsid w:val="00F057FF"/>
    <w:rsid w:val="00F06ACE"/>
    <w:rsid w:val="00F22148"/>
    <w:rsid w:val="00F27D38"/>
    <w:rsid w:val="00F30995"/>
    <w:rsid w:val="00F31DB1"/>
    <w:rsid w:val="00F33334"/>
    <w:rsid w:val="00F374B3"/>
    <w:rsid w:val="00F409B2"/>
    <w:rsid w:val="00F40D60"/>
    <w:rsid w:val="00F44793"/>
    <w:rsid w:val="00F54BEB"/>
    <w:rsid w:val="00F5606E"/>
    <w:rsid w:val="00F569C7"/>
    <w:rsid w:val="00F608A3"/>
    <w:rsid w:val="00F628BA"/>
    <w:rsid w:val="00F67B1B"/>
    <w:rsid w:val="00F67D19"/>
    <w:rsid w:val="00F7137B"/>
    <w:rsid w:val="00F73560"/>
    <w:rsid w:val="00F8383E"/>
    <w:rsid w:val="00F87770"/>
    <w:rsid w:val="00F92DA1"/>
    <w:rsid w:val="00FA0748"/>
    <w:rsid w:val="00FA25C4"/>
    <w:rsid w:val="00FA2DB0"/>
    <w:rsid w:val="00FA37D2"/>
    <w:rsid w:val="00FC7417"/>
    <w:rsid w:val="00FD243D"/>
    <w:rsid w:val="00FD3D63"/>
    <w:rsid w:val="00FD44AD"/>
    <w:rsid w:val="00FE0FE2"/>
    <w:rsid w:val="00FF1D3F"/>
    <w:rsid w:val="00FF1F89"/>
    <w:rsid w:val="00FF382C"/>
    <w:rsid w:val="00FF3A83"/>
    <w:rsid w:val="00FF45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876"/>
    <w:rPr>
      <w:sz w:val="24"/>
      <w:szCs w:val="24"/>
      <w:lang w:val="en-GB"/>
    </w:rPr>
  </w:style>
  <w:style w:type="paragraph" w:styleId="Titre1">
    <w:name w:val="heading 1"/>
    <w:basedOn w:val="Normal"/>
    <w:next w:val="Normal"/>
    <w:link w:val="Titre1Car"/>
    <w:qFormat/>
    <w:rsid w:val="00DD0876"/>
    <w:pPr>
      <w:keepNext/>
      <w:spacing w:line="300" w:lineRule="atLeast"/>
      <w:jc w:val="center"/>
      <w:outlineLvl w:val="0"/>
    </w:pPr>
    <w:rPr>
      <w:rFonts w:ascii="CG Times (PCL6)" w:hAnsi="CG Times (PCL6)"/>
      <w:b/>
      <w:bCs/>
      <w:snapToGrid w:val="0"/>
      <w:sz w:val="22"/>
      <w:szCs w:val="22"/>
    </w:rPr>
  </w:style>
  <w:style w:type="paragraph" w:styleId="Titre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0876"/>
    <w:rPr>
      <w:color w:val="0000FF"/>
      <w:u w:val="single"/>
    </w:rPr>
  </w:style>
  <w:style w:type="paragraph" w:styleId="En-tte">
    <w:name w:val="header"/>
    <w:basedOn w:val="Normal"/>
    <w:rsid w:val="00DD0876"/>
    <w:pPr>
      <w:tabs>
        <w:tab w:val="center" w:pos="4536"/>
        <w:tab w:val="right" w:pos="9072"/>
      </w:tabs>
    </w:pPr>
    <w:rPr>
      <w:sz w:val="20"/>
      <w:szCs w:val="20"/>
    </w:rPr>
  </w:style>
  <w:style w:type="paragraph" w:styleId="Pieddepage">
    <w:name w:val="footer"/>
    <w:basedOn w:val="Normal"/>
    <w:link w:val="PieddepageCar"/>
    <w:rsid w:val="00DD0876"/>
    <w:pPr>
      <w:tabs>
        <w:tab w:val="center" w:pos="4536"/>
        <w:tab w:val="right" w:pos="9072"/>
      </w:tabs>
    </w:pPr>
  </w:style>
  <w:style w:type="character" w:styleId="Lienhypertextesuivivisit">
    <w:name w:val="FollowedHyperlink"/>
    <w:basedOn w:val="Policepardfaut"/>
    <w:rsid w:val="00DD0876"/>
    <w:rPr>
      <w:color w:val="800080"/>
      <w:u w:val="single"/>
    </w:rPr>
  </w:style>
  <w:style w:type="paragraph" w:styleId="Corpsdetexte">
    <w:name w:val="Body Text"/>
    <w:basedOn w:val="Normal"/>
    <w:rsid w:val="00DD0876"/>
    <w:pPr>
      <w:jc w:val="both"/>
    </w:pPr>
    <w:rPr>
      <w:rFonts w:ascii="Arial Narrow" w:hAnsi="Arial Narrow"/>
      <w:snapToGrid w:val="0"/>
      <w:sz w:val="22"/>
      <w:szCs w:val="22"/>
    </w:rPr>
  </w:style>
  <w:style w:type="paragraph" w:styleId="Retraitcorpsdetexte">
    <w:name w:val="Body Text Indent"/>
    <w:basedOn w:val="Normal"/>
    <w:rsid w:val="00DD0876"/>
    <w:pPr>
      <w:spacing w:after="120"/>
      <w:ind w:left="283"/>
    </w:pPr>
  </w:style>
  <w:style w:type="paragraph" w:styleId="Corpsdetexte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Notedebasdepage">
    <w:name w:val="footnote text"/>
    <w:basedOn w:val="Normal"/>
    <w:semiHidden/>
    <w:rsid w:val="00D556E9"/>
    <w:rPr>
      <w:sz w:val="20"/>
      <w:szCs w:val="20"/>
    </w:rPr>
  </w:style>
  <w:style w:type="character" w:styleId="Appelnotedebasdep">
    <w:name w:val="footnote reference"/>
    <w:basedOn w:val="Policepardfaut"/>
    <w:semiHidden/>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PieddepageCar">
    <w:name w:val="Pied de page Car"/>
    <w:link w:val="Pieddepage"/>
    <w:rsid w:val="00117F29"/>
    <w:rPr>
      <w:sz w:val="24"/>
      <w:szCs w:val="24"/>
      <w:lang w:val="en-GB"/>
    </w:rPr>
  </w:style>
  <w:style w:type="character" w:customStyle="1" w:styleId="Titre1Car">
    <w:name w:val="Titre 1 Car"/>
    <w:basedOn w:val="Policepardfaut"/>
    <w:link w:val="Titre1"/>
    <w:rsid w:val="003269F9"/>
    <w:rPr>
      <w:rFonts w:ascii="CG Times (PCL6)" w:hAnsi="CG Times (PCL6)"/>
      <w:b/>
      <w:bCs/>
      <w:snapToGrid w:val="0"/>
      <w:sz w:val="22"/>
      <w:szCs w:val="22"/>
      <w:lang w:val="en-GB"/>
    </w:rPr>
  </w:style>
  <w:style w:type="character" w:styleId="Marquedecommentaire">
    <w:name w:val="annotation reference"/>
    <w:basedOn w:val="Policepardfaut"/>
    <w:unhideWhenUsed/>
    <w:rsid w:val="00772E45"/>
    <w:rPr>
      <w:sz w:val="16"/>
      <w:szCs w:val="16"/>
    </w:rPr>
  </w:style>
  <w:style w:type="paragraph" w:styleId="Commentaire">
    <w:name w:val="annotation text"/>
    <w:basedOn w:val="Normal"/>
    <w:link w:val="CommentaireCar"/>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aireCar">
    <w:name w:val="Commentaire Car"/>
    <w:basedOn w:val="Policepardfaut"/>
    <w:link w:val="Commentaire"/>
    <w:rsid w:val="00772E45"/>
    <w:rPr>
      <w:rFonts w:ascii="Calibri" w:eastAsiaTheme="minorHAnsi" w:hAnsi="Calibri" w:cstheme="minorBidi"/>
      <w:sz w:val="22"/>
      <w:szCs w:val="22"/>
      <w:lang w:val="en-GB" w:eastAsia="en-US"/>
    </w:rPr>
  </w:style>
  <w:style w:type="paragraph" w:styleId="Textedebulles">
    <w:name w:val="Balloon Text"/>
    <w:basedOn w:val="Normal"/>
    <w:link w:val="TextedebullesCar"/>
    <w:rsid w:val="00772E45"/>
    <w:rPr>
      <w:rFonts w:ascii="Tahoma" w:hAnsi="Tahoma" w:cs="Tahoma"/>
      <w:sz w:val="16"/>
      <w:szCs w:val="16"/>
    </w:rPr>
  </w:style>
  <w:style w:type="character" w:customStyle="1" w:styleId="TextedebullesCar">
    <w:name w:val="Texte de bulles Car"/>
    <w:basedOn w:val="Policepardfaut"/>
    <w:link w:val="Textedebulles"/>
    <w:rsid w:val="00772E45"/>
    <w:rPr>
      <w:rFonts w:ascii="Tahoma" w:hAnsi="Tahoma" w:cs="Tahoma"/>
      <w:sz w:val="16"/>
      <w:szCs w:val="16"/>
      <w:lang w:val="en-GB"/>
    </w:rPr>
  </w:style>
  <w:style w:type="paragraph" w:styleId="Paragraphedeliste">
    <w:name w:val="List Paragraph"/>
    <w:basedOn w:val="Normal"/>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Objetducommentaire">
    <w:name w:val="annotation subject"/>
    <w:basedOn w:val="Commentaire"/>
    <w:next w:val="Commentaire"/>
    <w:link w:val="ObjetducommentaireCar"/>
    <w:rsid w:val="00170F43"/>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rsid w:val="00170F43"/>
    <w:rPr>
      <w:rFonts w:ascii="Calibri" w:eastAsiaTheme="minorHAnsi" w:hAnsi="Calibri" w:cstheme="minorBidi"/>
      <w:b/>
      <w:bCs/>
      <w:sz w:val="22"/>
      <w:szCs w:val="22"/>
      <w:lang w:val="en-GB" w:eastAsia="en-US"/>
    </w:rPr>
  </w:style>
  <w:style w:type="paragraph" w:styleId="Notedefin">
    <w:name w:val="endnote text"/>
    <w:basedOn w:val="Normal"/>
    <w:link w:val="NotedefinCar"/>
    <w:rsid w:val="00FD243D"/>
    <w:rPr>
      <w:sz w:val="20"/>
      <w:szCs w:val="20"/>
    </w:rPr>
  </w:style>
  <w:style w:type="character" w:customStyle="1" w:styleId="NotedefinCar">
    <w:name w:val="Note de fin Car"/>
    <w:basedOn w:val="Policepardfaut"/>
    <w:link w:val="Notedefin"/>
    <w:rsid w:val="00FD243D"/>
    <w:rPr>
      <w:lang w:val="en-GB"/>
    </w:rPr>
  </w:style>
  <w:style w:type="character" w:styleId="Appeldenotedefin">
    <w:name w:val="endnote reference"/>
    <w:basedOn w:val="Policepardfaut"/>
    <w:rsid w:val="00FD243D"/>
    <w:rPr>
      <w:vertAlign w:val="superscript"/>
    </w:rPr>
  </w:style>
  <w:style w:type="character" w:customStyle="1" w:styleId="bumpedfont15">
    <w:name w:val="bumpedfont15"/>
    <w:basedOn w:val="Policepardfaut"/>
    <w:rsid w:val="00D66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876"/>
    <w:rPr>
      <w:sz w:val="24"/>
      <w:szCs w:val="24"/>
      <w:lang w:val="en-GB"/>
    </w:rPr>
  </w:style>
  <w:style w:type="paragraph" w:styleId="Titre1">
    <w:name w:val="heading 1"/>
    <w:basedOn w:val="Normal"/>
    <w:next w:val="Normal"/>
    <w:link w:val="Titre1Car"/>
    <w:qFormat/>
    <w:rsid w:val="00DD0876"/>
    <w:pPr>
      <w:keepNext/>
      <w:spacing w:line="300" w:lineRule="atLeast"/>
      <w:jc w:val="center"/>
      <w:outlineLvl w:val="0"/>
    </w:pPr>
    <w:rPr>
      <w:rFonts w:ascii="CG Times (PCL6)" w:hAnsi="CG Times (PCL6)"/>
      <w:b/>
      <w:bCs/>
      <w:snapToGrid w:val="0"/>
      <w:sz w:val="22"/>
      <w:szCs w:val="22"/>
    </w:rPr>
  </w:style>
  <w:style w:type="paragraph" w:styleId="Titre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0876"/>
    <w:rPr>
      <w:color w:val="0000FF"/>
      <w:u w:val="single"/>
    </w:rPr>
  </w:style>
  <w:style w:type="paragraph" w:styleId="En-tte">
    <w:name w:val="header"/>
    <w:basedOn w:val="Normal"/>
    <w:rsid w:val="00DD0876"/>
    <w:pPr>
      <w:tabs>
        <w:tab w:val="center" w:pos="4536"/>
        <w:tab w:val="right" w:pos="9072"/>
      </w:tabs>
    </w:pPr>
    <w:rPr>
      <w:sz w:val="20"/>
      <w:szCs w:val="20"/>
    </w:rPr>
  </w:style>
  <w:style w:type="paragraph" w:styleId="Pieddepage">
    <w:name w:val="footer"/>
    <w:basedOn w:val="Normal"/>
    <w:link w:val="PieddepageCar"/>
    <w:rsid w:val="00DD0876"/>
    <w:pPr>
      <w:tabs>
        <w:tab w:val="center" w:pos="4536"/>
        <w:tab w:val="right" w:pos="9072"/>
      </w:tabs>
    </w:pPr>
  </w:style>
  <w:style w:type="character" w:styleId="Lienhypertextesuivivisit">
    <w:name w:val="FollowedHyperlink"/>
    <w:basedOn w:val="Policepardfaut"/>
    <w:rsid w:val="00DD0876"/>
    <w:rPr>
      <w:color w:val="800080"/>
      <w:u w:val="single"/>
    </w:rPr>
  </w:style>
  <w:style w:type="paragraph" w:styleId="Corpsdetexte">
    <w:name w:val="Body Text"/>
    <w:basedOn w:val="Normal"/>
    <w:rsid w:val="00DD0876"/>
    <w:pPr>
      <w:jc w:val="both"/>
    </w:pPr>
    <w:rPr>
      <w:rFonts w:ascii="Arial Narrow" w:hAnsi="Arial Narrow"/>
      <w:snapToGrid w:val="0"/>
      <w:sz w:val="22"/>
      <w:szCs w:val="22"/>
    </w:rPr>
  </w:style>
  <w:style w:type="paragraph" w:styleId="Retraitcorpsdetexte">
    <w:name w:val="Body Text Indent"/>
    <w:basedOn w:val="Normal"/>
    <w:rsid w:val="00DD0876"/>
    <w:pPr>
      <w:spacing w:after="120"/>
      <w:ind w:left="283"/>
    </w:pPr>
  </w:style>
  <w:style w:type="paragraph" w:styleId="Corpsdetexte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Notedebasdepage">
    <w:name w:val="footnote text"/>
    <w:basedOn w:val="Normal"/>
    <w:semiHidden/>
    <w:rsid w:val="00D556E9"/>
    <w:rPr>
      <w:sz w:val="20"/>
      <w:szCs w:val="20"/>
    </w:rPr>
  </w:style>
  <w:style w:type="character" w:styleId="Appelnotedebasdep">
    <w:name w:val="footnote reference"/>
    <w:basedOn w:val="Policepardfaut"/>
    <w:semiHidden/>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PieddepageCar">
    <w:name w:val="Pied de page Car"/>
    <w:link w:val="Pieddepage"/>
    <w:rsid w:val="00117F29"/>
    <w:rPr>
      <w:sz w:val="24"/>
      <w:szCs w:val="24"/>
      <w:lang w:val="en-GB"/>
    </w:rPr>
  </w:style>
  <w:style w:type="character" w:customStyle="1" w:styleId="Titre1Car">
    <w:name w:val="Titre 1 Car"/>
    <w:basedOn w:val="Policepardfaut"/>
    <w:link w:val="Titre1"/>
    <w:rsid w:val="003269F9"/>
    <w:rPr>
      <w:rFonts w:ascii="CG Times (PCL6)" w:hAnsi="CG Times (PCL6)"/>
      <w:b/>
      <w:bCs/>
      <w:snapToGrid w:val="0"/>
      <w:sz w:val="22"/>
      <w:szCs w:val="22"/>
      <w:lang w:val="en-GB"/>
    </w:rPr>
  </w:style>
  <w:style w:type="character" w:styleId="Marquedecommentaire">
    <w:name w:val="annotation reference"/>
    <w:basedOn w:val="Policepardfaut"/>
    <w:unhideWhenUsed/>
    <w:rsid w:val="00772E45"/>
    <w:rPr>
      <w:sz w:val="16"/>
      <w:szCs w:val="16"/>
    </w:rPr>
  </w:style>
  <w:style w:type="paragraph" w:styleId="Commentaire">
    <w:name w:val="annotation text"/>
    <w:basedOn w:val="Normal"/>
    <w:link w:val="CommentaireCar"/>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aireCar">
    <w:name w:val="Commentaire Car"/>
    <w:basedOn w:val="Policepardfaut"/>
    <w:link w:val="Commentaire"/>
    <w:rsid w:val="00772E45"/>
    <w:rPr>
      <w:rFonts w:ascii="Calibri" w:eastAsiaTheme="minorHAnsi" w:hAnsi="Calibri" w:cstheme="minorBidi"/>
      <w:sz w:val="22"/>
      <w:szCs w:val="22"/>
      <w:lang w:val="en-GB" w:eastAsia="en-US"/>
    </w:rPr>
  </w:style>
  <w:style w:type="paragraph" w:styleId="Textedebulles">
    <w:name w:val="Balloon Text"/>
    <w:basedOn w:val="Normal"/>
    <w:link w:val="TextedebullesCar"/>
    <w:rsid w:val="00772E45"/>
    <w:rPr>
      <w:rFonts w:ascii="Tahoma" w:hAnsi="Tahoma" w:cs="Tahoma"/>
      <w:sz w:val="16"/>
      <w:szCs w:val="16"/>
    </w:rPr>
  </w:style>
  <w:style w:type="character" w:customStyle="1" w:styleId="TextedebullesCar">
    <w:name w:val="Texte de bulles Car"/>
    <w:basedOn w:val="Policepardfaut"/>
    <w:link w:val="Textedebulles"/>
    <w:rsid w:val="00772E45"/>
    <w:rPr>
      <w:rFonts w:ascii="Tahoma" w:hAnsi="Tahoma" w:cs="Tahoma"/>
      <w:sz w:val="16"/>
      <w:szCs w:val="16"/>
      <w:lang w:val="en-GB"/>
    </w:rPr>
  </w:style>
  <w:style w:type="paragraph" w:styleId="Paragraphedeliste">
    <w:name w:val="List Paragraph"/>
    <w:basedOn w:val="Normal"/>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Objetducommentaire">
    <w:name w:val="annotation subject"/>
    <w:basedOn w:val="Commentaire"/>
    <w:next w:val="Commentaire"/>
    <w:link w:val="ObjetducommentaireCar"/>
    <w:rsid w:val="00170F43"/>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rsid w:val="00170F43"/>
    <w:rPr>
      <w:rFonts w:ascii="Calibri" w:eastAsiaTheme="minorHAnsi" w:hAnsi="Calibri" w:cstheme="minorBidi"/>
      <w:b/>
      <w:bCs/>
      <w:sz w:val="22"/>
      <w:szCs w:val="22"/>
      <w:lang w:val="en-GB" w:eastAsia="en-US"/>
    </w:rPr>
  </w:style>
  <w:style w:type="paragraph" w:styleId="Notedefin">
    <w:name w:val="endnote text"/>
    <w:basedOn w:val="Normal"/>
    <w:link w:val="NotedefinCar"/>
    <w:rsid w:val="00FD243D"/>
    <w:rPr>
      <w:sz w:val="20"/>
      <w:szCs w:val="20"/>
    </w:rPr>
  </w:style>
  <w:style w:type="character" w:customStyle="1" w:styleId="NotedefinCar">
    <w:name w:val="Note de fin Car"/>
    <w:basedOn w:val="Policepardfaut"/>
    <w:link w:val="Notedefin"/>
    <w:rsid w:val="00FD243D"/>
    <w:rPr>
      <w:lang w:val="en-GB"/>
    </w:rPr>
  </w:style>
  <w:style w:type="character" w:styleId="Appeldenotedefin">
    <w:name w:val="endnote reference"/>
    <w:basedOn w:val="Policepardfaut"/>
    <w:rsid w:val="00FD243D"/>
    <w:rPr>
      <w:vertAlign w:val="superscript"/>
    </w:rPr>
  </w:style>
  <w:style w:type="character" w:customStyle="1" w:styleId="bumpedfont15">
    <w:name w:val="bumpedfont15"/>
    <w:basedOn w:val="Policepardfaut"/>
    <w:rsid w:val="00D6666B"/>
  </w:style>
</w:styles>
</file>

<file path=word/webSettings.xml><?xml version="1.0" encoding="utf-8"?>
<w:webSettings xmlns:r="http://schemas.openxmlformats.org/officeDocument/2006/relationships" xmlns:w="http://schemas.openxmlformats.org/wordprocessingml/2006/main">
  <w:divs>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538205240">
      <w:bodyDiv w:val="1"/>
      <w:marLeft w:val="0"/>
      <w:marRight w:val="0"/>
      <w:marTop w:val="0"/>
      <w:marBottom w:val="0"/>
      <w:divBdr>
        <w:top w:val="none" w:sz="0" w:space="0" w:color="auto"/>
        <w:left w:val="none" w:sz="0" w:space="0" w:color="auto"/>
        <w:bottom w:val="none" w:sz="0" w:space="0" w:color="auto"/>
        <w:right w:val="none" w:sz="0" w:space="0" w:color="auto"/>
      </w:divBdr>
    </w:div>
    <w:div w:id="626083146">
      <w:bodyDiv w:val="1"/>
      <w:marLeft w:val="0"/>
      <w:marRight w:val="0"/>
      <w:marTop w:val="0"/>
      <w:marBottom w:val="0"/>
      <w:divBdr>
        <w:top w:val="none" w:sz="0" w:space="0" w:color="auto"/>
        <w:left w:val="none" w:sz="0" w:space="0" w:color="auto"/>
        <w:bottom w:val="none" w:sz="0" w:space="0" w:color="auto"/>
        <w:right w:val="none" w:sz="0" w:space="0" w:color="auto"/>
      </w:divBdr>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7749">
      <w:bodyDiv w:val="1"/>
      <w:marLeft w:val="0"/>
      <w:marRight w:val="0"/>
      <w:marTop w:val="0"/>
      <w:marBottom w:val="0"/>
      <w:divBdr>
        <w:top w:val="none" w:sz="0" w:space="0" w:color="auto"/>
        <w:left w:val="none" w:sz="0" w:space="0" w:color="auto"/>
        <w:bottom w:val="none" w:sz="0" w:space="0" w:color="auto"/>
        <w:right w:val="none" w:sz="0" w:space="0" w:color="auto"/>
      </w:divBdr>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28468268">
      <w:bodyDiv w:val="1"/>
      <w:marLeft w:val="0"/>
      <w:marRight w:val="0"/>
      <w:marTop w:val="0"/>
      <w:marBottom w:val="0"/>
      <w:divBdr>
        <w:top w:val="none" w:sz="0" w:space="0" w:color="auto"/>
        <w:left w:val="none" w:sz="0" w:space="0" w:color="auto"/>
        <w:bottom w:val="none" w:sz="0" w:space="0" w:color="auto"/>
        <w:right w:val="none" w:sz="0" w:space="0" w:color="auto"/>
      </w:divBdr>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1989">
      <w:bodyDiv w:val="1"/>
      <w:marLeft w:val="0"/>
      <w:marRight w:val="0"/>
      <w:marTop w:val="0"/>
      <w:marBottom w:val="0"/>
      <w:divBdr>
        <w:top w:val="none" w:sz="0" w:space="0" w:color="auto"/>
        <w:left w:val="none" w:sz="0" w:space="0" w:color="auto"/>
        <w:bottom w:val="none" w:sz="0" w:space="0" w:color="auto"/>
        <w:right w:val="none" w:sz="0" w:space="0" w:color="auto"/>
      </w:divBdr>
    </w:div>
    <w:div w:id="1707021325">
      <w:bodyDiv w:val="1"/>
      <w:marLeft w:val="0"/>
      <w:marRight w:val="0"/>
      <w:marTop w:val="0"/>
      <w:marBottom w:val="0"/>
      <w:divBdr>
        <w:top w:val="none" w:sz="0" w:space="0" w:color="auto"/>
        <w:left w:val="none" w:sz="0" w:space="0" w:color="auto"/>
        <w:bottom w:val="none" w:sz="0" w:space="0" w:color="auto"/>
        <w:right w:val="none" w:sz="0" w:space="0" w:color="auto"/>
      </w:divBdr>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 w:id="21140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hec-risk.co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linkedin.com/company/amundi-" TargetMode="External"/><Relationship Id="rId7" Type="http://schemas.openxmlformats.org/officeDocument/2006/relationships/endnotes" Target="endnotes.xml"/><Relationship Id="rId12" Type="http://schemas.openxmlformats.org/officeDocument/2006/relationships/hyperlink" Target="http://www.edhec-risk.com" TargetMode="External"/><Relationship Id="rId17" Type="http://schemas.openxmlformats.org/officeDocument/2006/relationships/hyperlink" Target="http://twitter.com/Amundi_FR/"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d.gauchon@edhec-risk.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mundi.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facebook.com/AmundiOfficial" TargetMode="External"/><Relationship Id="rId4" Type="http://schemas.openxmlformats.org/officeDocument/2006/relationships/settings" Target="settings.xml"/><Relationship Id="rId9" Type="http://schemas.openxmlformats.org/officeDocument/2006/relationships/hyperlink" Target="http://docs.edhec-risk.com/mrk/000000/Press/Investor_Views_Smart_Beta_ETFs.pdf" TargetMode="External"/><Relationship Id="rId14" Type="http://schemas.openxmlformats.org/officeDocument/2006/relationships/hyperlink" Target="http://www.edhec-ris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7D52-EC11-4DBA-9492-92F5AA4A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1487</Words>
  <Characters>8184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texte pour le communiqué de presse Misys plc concernant la distinction reçue par Noël Amenc</vt:lpstr>
      <vt:lpstr>Proposition de texte pour le communiqué de presse Misys plc concernant la distinction reçue par Noël Amenc</vt:lpstr>
    </vt:vector>
  </TitlesOfParts>
  <Company>misys</Company>
  <LinksUpToDate>false</LinksUpToDate>
  <CharactersWithSpaces>9652</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texte pour le communiqué de presse Misys plc concernant la distinction reçue par Noël Amenc</dc:title>
  <dc:creator>LaKrilof</dc:creator>
  <cp:lastModifiedBy>Maud GAUCHON</cp:lastModifiedBy>
  <cp:revision>7</cp:revision>
  <cp:lastPrinted>2015-04-22T13:58:00Z</cp:lastPrinted>
  <dcterms:created xsi:type="dcterms:W3CDTF">2015-04-22T16:43:00Z</dcterms:created>
  <dcterms:modified xsi:type="dcterms:W3CDTF">2015-06-15T09:37:00Z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